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321322">
        <w:trPr>
          <w:cantSplit/>
          <w:trHeight w:val="2319"/>
        </w:trPr>
        <w:tc>
          <w:tcPr>
            <w:tcW w:w="4181" w:type="dxa"/>
            <w:hideMark/>
          </w:tcPr>
          <w:p w:rsidR="00B14113" w:rsidRPr="003568A4" w:rsidRDefault="00B14113" w:rsidP="00B14113">
            <w:pPr>
              <w:pStyle w:val="Kop2"/>
              <w:rPr>
                <w:sz w:val="28"/>
                <w:lang w:val="fr-FR"/>
              </w:rPr>
            </w:pPr>
            <w:r w:rsidRPr="003568A4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123BC004" wp14:editId="194220DD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FD73FE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3568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3568A4" w:rsidRPr="003568A4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attaché </w:t>
            </w:r>
            <w:r w:rsidR="00417193" w:rsidRPr="003568A4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3568A4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>H/F</w:t>
            </w:r>
            <w:r w:rsidR="00F34492" w:rsidRPr="003568A4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 (</w:t>
            </w:r>
            <w:r w:rsidR="003568A4" w:rsidRPr="003568A4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Contrat de </w:t>
            </w:r>
            <w:r w:rsidR="00F34492" w:rsidRPr="003568A4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>remplacement)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41719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 1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FD73F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Cellule Logement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4634DB" w:rsidRPr="00B14113" w:rsidRDefault="00B14113" w:rsidP="004634DB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4634D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Aménagement du territoire &amp; Gestion immobilière</w:t>
            </w: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E516FF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E516F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14</w:t>
            </w:r>
            <w:r w:rsidR="0097169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/01/2020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4634DB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Support/Expert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49"/>
      </w:tblGrid>
      <w:tr w:rsidR="007D5BC2" w:rsidRPr="003568A4" w:rsidTr="00B65F25">
        <w:trPr>
          <w:cantSplit/>
          <w:trHeight w:val="559"/>
          <w:tblHeader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3568A4" w:rsidTr="004634DB">
        <w:trPr>
          <w:cantSplit/>
          <w:trHeight w:val="834"/>
          <w:tblHeader/>
        </w:trPr>
        <w:tc>
          <w:tcPr>
            <w:tcW w:w="9249" w:type="dxa"/>
            <w:tcBorders>
              <w:top w:val="single" w:sz="4" w:space="0" w:color="auto"/>
            </w:tcBorders>
            <w:shd w:val="clear" w:color="auto" w:fill="E6E6E6"/>
          </w:tcPr>
          <w:p w:rsidR="007D5BC2" w:rsidRPr="004634DB" w:rsidRDefault="004634DB" w:rsidP="004634DB">
            <w:pPr>
              <w:pStyle w:val="Default"/>
              <w:spacing w:after="39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E45">
              <w:rPr>
                <w:rFonts w:ascii="Arial" w:hAnsi="Arial" w:cs="Arial"/>
                <w:kern w:val="32"/>
                <w:sz w:val="20"/>
                <w:szCs w:val="20"/>
              </w:rPr>
              <w:t>Sur base des besoins approuvés par l’autorité, l</w:t>
            </w:r>
            <w:r>
              <w:rPr>
                <w:rFonts w:ascii="Arial" w:hAnsi="Arial" w:cs="Arial"/>
                <w:kern w:val="32"/>
                <w:sz w:val="20"/>
                <w:szCs w:val="20"/>
              </w:rPr>
              <w:t>e secrétaire d’administration (H/F)</w:t>
            </w:r>
            <w:r w:rsidRPr="00BF5E45">
              <w:rPr>
                <w:rFonts w:ascii="Arial" w:hAnsi="Arial" w:cs="Arial"/>
                <w:kern w:val="32"/>
                <w:sz w:val="20"/>
                <w:szCs w:val="20"/>
              </w:rPr>
              <w:t xml:space="preserve"> p</w:t>
            </w:r>
            <w:r w:rsidRPr="00BF5E45">
              <w:rPr>
                <w:rFonts w:ascii="Arial" w:hAnsi="Arial" w:cs="Arial"/>
                <w:sz w:val="20"/>
                <w:szCs w:val="20"/>
              </w:rPr>
              <w:t xml:space="preserve">articipe à la mission générale d’amélioration de l’habitat au travers </w:t>
            </w:r>
            <w:r>
              <w:rPr>
                <w:rFonts w:ascii="Arial" w:hAnsi="Arial" w:cs="Arial"/>
                <w:sz w:val="20"/>
                <w:szCs w:val="20"/>
              </w:rPr>
              <w:t xml:space="preserve">notamment </w:t>
            </w:r>
            <w:r w:rsidRPr="00BF5E45">
              <w:rPr>
                <w:rFonts w:ascii="Arial" w:hAnsi="Arial" w:cs="Arial"/>
                <w:sz w:val="20"/>
                <w:szCs w:val="20"/>
              </w:rPr>
              <w:t>de la lutte contre les immeubles à l’abandon sur le territoire de Molenbeek-Saint-Jean.</w:t>
            </w:r>
          </w:p>
        </w:tc>
      </w:tr>
    </w:tbl>
    <w:p w:rsidR="007D5BC2" w:rsidRPr="00BF5E45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RPr="003568A4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AD19B6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AD19B6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  <w:p w:rsidR="004634DB" w:rsidRPr="00BF5E45" w:rsidRDefault="004634DB" w:rsidP="004634DB">
            <w:pPr>
              <w:jc w:val="both"/>
              <w:rPr>
                <w:rFonts w:ascii="Arial" w:hAnsi="Arial" w:cs="Arial"/>
                <w:lang w:val="fr-BE"/>
              </w:rPr>
            </w:pPr>
            <w:r w:rsidRPr="004634DB">
              <w:rPr>
                <w:rFonts w:ascii="Arial" w:hAnsi="Arial" w:cs="Arial"/>
                <w:lang w:val="fr-BE"/>
              </w:rPr>
              <w:t xml:space="preserve">en tant que collaborateur, s’occuper de toutes tâches nécessaires au bon fonctionnement </w:t>
            </w:r>
            <w:r w:rsidRPr="00BF5E45">
              <w:rPr>
                <w:rFonts w:ascii="Arial" w:hAnsi="Arial" w:cs="Arial"/>
                <w:lang w:val="fr-BE"/>
              </w:rPr>
              <w:t xml:space="preserve">de la Cellule Logement </w:t>
            </w:r>
            <w:r>
              <w:rPr>
                <w:rFonts w:ascii="Arial" w:hAnsi="Arial" w:cs="Arial"/>
                <w:lang w:val="fr-BE"/>
              </w:rPr>
              <w:t>afin qu</w:t>
            </w:r>
            <w:r w:rsidRPr="00BF5E45">
              <w:rPr>
                <w:rFonts w:ascii="Arial" w:hAnsi="Arial" w:cs="Arial"/>
                <w:lang w:val="fr-BE"/>
              </w:rPr>
              <w:t>e l’habitat sur le territoire de Molenbeek-Saint-Jean soit amélioré.</w:t>
            </w:r>
          </w:p>
          <w:p w:rsidR="00AD19B6" w:rsidRPr="008B08D2" w:rsidRDefault="008B08D2" w:rsidP="004634DB">
            <w:pPr>
              <w:rPr>
                <w:rFonts w:ascii="Arial" w:hAnsi="Arial" w:cs="Arial"/>
                <w:lang w:val="fr-BE"/>
              </w:rPr>
            </w:pPr>
            <w:r w:rsidRPr="00BF5E45">
              <w:rPr>
                <w:rFonts w:ascii="Arial" w:hAnsi="Arial" w:cs="Arial"/>
                <w:u w:val="single"/>
                <w:lang w:val="fr-BE"/>
              </w:rPr>
              <w:t>Exemples de tâches</w:t>
            </w:r>
            <w:r w:rsidRPr="00BF5E45">
              <w:rPr>
                <w:rFonts w:ascii="Arial" w:hAnsi="Arial" w:cs="Arial"/>
                <w:lang w:val="fr-BE"/>
              </w:rPr>
              <w:t> :</w:t>
            </w:r>
          </w:p>
          <w:p w:rsidR="00AD19B6" w:rsidRPr="003568A4" w:rsidRDefault="00AD19B6" w:rsidP="00AD19B6">
            <w:pPr>
              <w:spacing w:after="120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b/>
                <w:lang w:val="fr-FR"/>
              </w:rPr>
              <w:t>Travail sur le terrain</w:t>
            </w:r>
            <w:r w:rsidRPr="003568A4">
              <w:rPr>
                <w:rFonts w:ascii="Arial" w:hAnsi="Arial" w:cs="Arial"/>
                <w:lang w:val="fr-FR"/>
              </w:rPr>
              <w:t xml:space="preserve"> :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Repérage d’indices quant à l’inoccupation de biens situés sur le territoire communal;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Visites de certains biens soupçonnés inoccupés ; </w:t>
            </w:r>
          </w:p>
          <w:p w:rsidR="00AD19B6" w:rsidRPr="003568A4" w:rsidRDefault="00AD19B6" w:rsidP="00AD19B6">
            <w:pPr>
              <w:pStyle w:val="Lijstalinea"/>
              <w:ind w:left="714"/>
              <w:rPr>
                <w:rFonts w:ascii="Arial" w:hAnsi="Arial" w:cs="Arial"/>
                <w:lang w:val="fr-FR"/>
              </w:rPr>
            </w:pPr>
          </w:p>
          <w:p w:rsidR="00AD19B6" w:rsidRDefault="00AD19B6" w:rsidP="00AD19B6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Travail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administratif</w:t>
            </w:r>
            <w:proofErr w:type="spellEnd"/>
            <w:r>
              <w:rPr>
                <w:rFonts w:ascii="Arial" w:hAnsi="Arial" w:cs="Arial"/>
              </w:rPr>
              <w:t xml:space="preserve"> : </w:t>
            </w:r>
          </w:p>
          <w:p w:rsidR="004634DB" w:rsidRDefault="004634DB" w:rsidP="00AD19B6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Réalisation et mise à jour régulière d’une base de données (inventaire annuel et tableaux de suivi) reprenant les immeubles inoccupés.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Réalisation d’un rapport annuel d’activités.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Recherches et recoupement d’informations susceptibles de démontrer l’inoccupation, issues </w:t>
            </w:r>
            <w:r w:rsidRPr="003568A4">
              <w:rPr>
                <w:rFonts w:ascii="Arial" w:hAnsi="Arial" w:cs="Arial"/>
                <w:lang w:val="fr-FR"/>
              </w:rPr>
              <w:lastRenderedPageBreak/>
              <w:t xml:space="preserve">de plusieurs bases de données (Cadastre, Registre de population, Listings </w:t>
            </w:r>
            <w:proofErr w:type="spellStart"/>
            <w:r w:rsidRPr="003568A4">
              <w:rPr>
                <w:rFonts w:ascii="Arial" w:hAnsi="Arial" w:cs="Arial"/>
                <w:lang w:val="fr-FR"/>
              </w:rPr>
              <w:t>Hydrobru</w:t>
            </w:r>
            <w:proofErr w:type="spellEnd"/>
            <w:r w:rsidRPr="003568A4">
              <w:rPr>
                <w:rFonts w:ascii="Arial" w:hAnsi="Arial" w:cs="Arial"/>
                <w:lang w:val="fr-FR"/>
              </w:rPr>
              <w:t xml:space="preserve"> et </w:t>
            </w:r>
            <w:proofErr w:type="spellStart"/>
            <w:r w:rsidRPr="003568A4">
              <w:rPr>
                <w:rFonts w:ascii="Arial" w:hAnsi="Arial" w:cs="Arial"/>
                <w:lang w:val="fr-FR"/>
              </w:rPr>
              <w:t>Sibelga</w:t>
            </w:r>
            <w:proofErr w:type="spellEnd"/>
            <w:r w:rsidRPr="003568A4">
              <w:rPr>
                <w:rFonts w:ascii="Arial" w:hAnsi="Arial" w:cs="Arial"/>
                <w:lang w:val="fr-FR"/>
              </w:rPr>
              <w:t xml:space="preserve">, Nova, </w:t>
            </w:r>
            <w:proofErr w:type="spellStart"/>
            <w:r w:rsidRPr="003568A4">
              <w:rPr>
                <w:rFonts w:ascii="Arial" w:hAnsi="Arial" w:cs="Arial"/>
                <w:lang w:val="fr-FR"/>
              </w:rPr>
              <w:t>UrbHyg</w:t>
            </w:r>
            <w:proofErr w:type="spellEnd"/>
            <w:r w:rsidRPr="003568A4">
              <w:rPr>
                <w:rFonts w:ascii="Arial" w:hAnsi="Arial" w:cs="Arial"/>
                <w:lang w:val="fr-FR"/>
              </w:rPr>
              <w:t xml:space="preserve">, Banque Carrefour des entreprises, etc.) 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Suivi des dossiers avec le service des Taxes communales ou la Cellule régionale de lutte contre les logements inoccupés 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Examen et constitution de dossiers administratifs pour la prise de mesures de police administratives et sécurisation de certains biens, pour lancer des procédures d’action en cessation, </w:t>
            </w:r>
            <w:r w:rsidR="0097169C" w:rsidRPr="003568A4">
              <w:rPr>
                <w:rFonts w:ascii="Arial" w:hAnsi="Arial" w:cs="Arial"/>
                <w:lang w:val="fr-FR"/>
              </w:rPr>
              <w:t>de droit de</w:t>
            </w:r>
            <w:r w:rsidRPr="003568A4">
              <w:rPr>
                <w:rFonts w:ascii="Arial" w:hAnsi="Arial" w:cs="Arial"/>
                <w:lang w:val="fr-FR"/>
              </w:rPr>
              <w:t xml:space="preserve"> gestion publique, de participation à des ventes publiques, d’expropriation, de demandes de subsides auprès du Ministère de la Région de Bruxelles-Capitale, rédaction de pièces comptables 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Etablissement de constats d’inoccupation, rédaction de plaintes relatives à l’inoccupation de logements à l’attention de la Cellule régionale, rédaction de courriers, de délibérations, de rapports, de procès-verbaux ;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Etablissements de dossiers de candidature aux appels à projet « observatoires communaux de lutte contre les logements inoccupés lancés par la Région de Bruxelles-Capitale, exécution et suivi de ces appels à projets, rédaction du rapport final, récupération des subsides octroyés, …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Participation ou organisation de réunions ;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Secrétariat du Conseil consultatif du Logement de Molenbeek-Saint-Jean (organisation des séances trimestrielles, rédaction des procès-verbaux des séances, secrétariat du Bureau du Conseil consultatif du logement, …)</w:t>
            </w:r>
          </w:p>
          <w:p w:rsidR="00AD19B6" w:rsidRPr="003568A4" w:rsidRDefault="00AD19B6" w:rsidP="00AD19B6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val="fr-FR"/>
              </w:rPr>
            </w:pPr>
          </w:p>
          <w:p w:rsidR="00AD19B6" w:rsidRDefault="00AD19B6" w:rsidP="00AD19B6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Contacts</w:t>
            </w:r>
            <w:proofErr w:type="spellEnd"/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C1587D">
              <w:rPr>
                <w:rFonts w:ascii="Arial" w:hAnsi="Arial" w:cs="Arial"/>
                <w:b/>
              </w:rPr>
              <w:t>avec</w:t>
            </w:r>
            <w:proofErr w:type="spellEnd"/>
            <w:r>
              <w:rPr>
                <w:rFonts w:ascii="Arial" w:hAnsi="Arial" w:cs="Arial"/>
              </w:rPr>
              <w:t> :</w:t>
            </w:r>
          </w:p>
          <w:p w:rsidR="00AD19B6" w:rsidRDefault="00AD19B6" w:rsidP="00AD19B6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Les propriétaires des immeubles inoccupés en vue de leur demander des explications, de dégager des solutions et de les prévenir des risques qu’ils encourent 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Les services communaux pour l’instruction et le suivi des dossiers (Service des taxes communales, service de l’Urbanisme, service </w:t>
            </w:r>
            <w:r w:rsidR="0097169C" w:rsidRPr="003568A4">
              <w:rPr>
                <w:rFonts w:ascii="Arial" w:hAnsi="Arial" w:cs="Arial"/>
                <w:lang w:val="fr-FR"/>
              </w:rPr>
              <w:t>des Affaires juridiques</w:t>
            </w:r>
            <w:r w:rsidRPr="003568A4">
              <w:rPr>
                <w:rFonts w:ascii="Arial" w:hAnsi="Arial" w:cs="Arial"/>
                <w:lang w:val="fr-FR"/>
              </w:rPr>
              <w:t xml:space="preserve">, … et avec la Cellule régionale de lutte contre les logements inoccupés) 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Des associations </w:t>
            </w:r>
            <w:r w:rsidR="0097169C" w:rsidRPr="003568A4">
              <w:rPr>
                <w:rFonts w:ascii="Arial" w:hAnsi="Arial" w:cs="Arial"/>
                <w:lang w:val="fr-FR"/>
              </w:rPr>
              <w:t>liées à la rénovation, des AIS</w:t>
            </w:r>
            <w:r w:rsidRPr="003568A4">
              <w:rPr>
                <w:rFonts w:ascii="Arial" w:hAnsi="Arial" w:cs="Arial"/>
                <w:lang w:val="fr-FR"/>
              </w:rPr>
              <w:t xml:space="preserve"> ; 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Des notaires, avocats ou autres protagonistes liés aux </w:t>
            </w:r>
            <w:r w:rsidR="00755B9E" w:rsidRPr="003568A4">
              <w:rPr>
                <w:rFonts w:ascii="Arial" w:hAnsi="Arial" w:cs="Arial"/>
                <w:lang w:val="fr-FR"/>
              </w:rPr>
              <w:t>dossiers;</w:t>
            </w:r>
          </w:p>
          <w:p w:rsidR="00AD19B6" w:rsidRPr="003568A4" w:rsidRDefault="00AD19B6" w:rsidP="00AD19B6">
            <w:pPr>
              <w:pStyle w:val="Lijstalinea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Divers intervenants en lien avec le Conseil consultatif du Logement.</w:t>
            </w:r>
          </w:p>
          <w:p w:rsidR="00FD73FE" w:rsidRPr="00BF5E45" w:rsidRDefault="00FD73FE" w:rsidP="00FD73FE">
            <w:pPr>
              <w:ind w:left="360"/>
              <w:rPr>
                <w:rFonts w:ascii="Arial" w:hAnsi="Arial" w:cs="Arial"/>
                <w:b/>
                <w:kern w:val="32"/>
                <w:lang w:val="fr-BE"/>
              </w:rPr>
            </w:pPr>
          </w:p>
        </w:tc>
      </w:tr>
    </w:tbl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3568A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55B9E" w:rsidRDefault="009D4406" w:rsidP="009D4406">
            <w:pPr>
              <w:rPr>
                <w:rFonts w:ascii="Arial" w:hAnsi="Arial" w:cs="Arial"/>
                <w:lang w:val="fr-BE"/>
              </w:rPr>
            </w:pPr>
            <w:r w:rsidRPr="00755B9E">
              <w:rPr>
                <w:rFonts w:ascii="Arial" w:hAnsi="Arial" w:cs="Arial"/>
                <w:lang w:val="fr-BE"/>
              </w:rPr>
              <w:t>La fonction e</w:t>
            </w:r>
            <w:r w:rsidR="00F64CEB" w:rsidRPr="00755B9E">
              <w:rPr>
                <w:rFonts w:ascii="Arial" w:hAnsi="Arial" w:cs="Arial"/>
                <w:lang w:val="fr-BE"/>
              </w:rPr>
              <w:t>st dirigé</w:t>
            </w:r>
            <w:r w:rsidR="00E41485" w:rsidRPr="00755B9E">
              <w:rPr>
                <w:rFonts w:ascii="Arial" w:hAnsi="Arial" w:cs="Arial"/>
                <w:lang w:val="fr-BE"/>
              </w:rPr>
              <w:t>e</w:t>
            </w:r>
            <w:r w:rsidR="00F64CEB" w:rsidRPr="00755B9E">
              <w:rPr>
                <w:rFonts w:ascii="Arial" w:hAnsi="Arial" w:cs="Arial"/>
                <w:lang w:val="fr-BE"/>
              </w:rPr>
              <w:t xml:space="preserve"> par</w:t>
            </w:r>
            <w:r w:rsidR="00902AB5" w:rsidRPr="00755B9E">
              <w:rPr>
                <w:rFonts w:ascii="Arial" w:hAnsi="Arial" w:cs="Arial"/>
                <w:lang w:val="fr-BE"/>
              </w:rPr>
              <w:t xml:space="preserve"> </w:t>
            </w:r>
            <w:r w:rsidR="00F64CEB" w:rsidRPr="00755B9E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755B9E" w:rsidRPr="003568A4" w:rsidRDefault="00755B9E" w:rsidP="00755B9E">
            <w:pPr>
              <w:contextualSpacing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Sous l’autorité de l’organisation hiérarchique résultant de l’organigramme</w:t>
            </w:r>
          </w:p>
          <w:p w:rsidR="00CC3DA8" w:rsidRPr="003568A4" w:rsidRDefault="00CC3DA8" w:rsidP="00BA1BEA">
            <w:pPr>
              <w:rPr>
                <w:rFonts w:ascii="Arial" w:hAnsi="Arial" w:cs="Arial"/>
                <w:snapToGrid w:val="0"/>
                <w:lang w:val="fr-FR" w:eastAsia="fr-FR"/>
              </w:rPr>
            </w:pPr>
          </w:p>
        </w:tc>
      </w:tr>
      <w:tr w:rsidR="00F64CEB" w:rsidRPr="003568A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Pr="00755B9E" w:rsidRDefault="009D4406" w:rsidP="009D4406">
            <w:pPr>
              <w:rPr>
                <w:rFonts w:ascii="Arial" w:hAnsi="Arial" w:cs="Arial"/>
                <w:lang w:val="fr-BE"/>
              </w:rPr>
            </w:pPr>
            <w:r w:rsidRPr="00755B9E">
              <w:rPr>
                <w:rFonts w:ascii="Arial" w:hAnsi="Arial" w:cs="Arial"/>
                <w:lang w:val="fr-BE"/>
              </w:rPr>
              <w:t>La fonction a</w:t>
            </w:r>
            <w:r w:rsidR="00F64CEB" w:rsidRPr="00755B9E">
              <w:rPr>
                <w:rFonts w:ascii="Arial" w:hAnsi="Arial" w:cs="Arial"/>
                <w:lang w:val="fr-BE"/>
              </w:rPr>
              <w:t>ssure la direction d</w:t>
            </w:r>
            <w:r w:rsidRPr="00755B9E">
              <w:rPr>
                <w:rFonts w:ascii="Arial" w:hAnsi="Arial" w:cs="Arial"/>
                <w:lang w:val="fr-BE"/>
              </w:rPr>
              <w:t xml:space="preserve">’un groupe </w:t>
            </w:r>
          </w:p>
          <w:p w:rsidR="00F64CEB" w:rsidRPr="00755B9E" w:rsidRDefault="009D4406" w:rsidP="009D4406">
            <w:pPr>
              <w:rPr>
                <w:rFonts w:ascii="Arial" w:hAnsi="Arial" w:cs="Arial"/>
                <w:lang w:val="fr-BE"/>
              </w:rPr>
            </w:pPr>
            <w:r w:rsidRPr="00755B9E">
              <w:rPr>
                <w:rFonts w:ascii="Arial" w:hAnsi="Arial" w:cs="Arial"/>
                <w:lang w:val="fr-BE"/>
              </w:rPr>
              <w:t>de</w:t>
            </w:r>
            <w:r w:rsidR="00902AB5" w:rsidRPr="00755B9E">
              <w:rPr>
                <w:rFonts w:ascii="Arial" w:hAnsi="Arial" w:cs="Arial"/>
                <w:lang w:val="fr-BE"/>
              </w:rPr>
              <w:t xml:space="preserve"> </w:t>
            </w:r>
            <w:r w:rsidR="00F64CEB" w:rsidRPr="00755B9E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55B9E" w:rsidRDefault="00F64CEB">
            <w:pPr>
              <w:rPr>
                <w:rFonts w:ascii="Arial" w:hAnsi="Arial" w:cs="Arial"/>
                <w:lang w:val="fr-BE"/>
              </w:rPr>
            </w:pPr>
            <w:r w:rsidRPr="00755B9E">
              <w:rPr>
                <w:rFonts w:ascii="Arial" w:hAnsi="Arial" w:cs="Arial"/>
                <w:lang w:val="fr-BE"/>
              </w:rPr>
              <w:t>Nombre total de collaborateurs</w:t>
            </w:r>
            <w:r w:rsidR="00794A98" w:rsidRPr="00755B9E">
              <w:rPr>
                <w:rFonts w:ascii="Arial" w:hAnsi="Arial" w:cs="Arial"/>
                <w:lang w:val="fr-BE"/>
              </w:rPr>
              <w:t xml:space="preserve"> et leur niveau</w:t>
            </w:r>
            <w:r w:rsidRPr="00755B9E">
              <w:rPr>
                <w:rFonts w:ascii="Arial" w:hAnsi="Arial" w:cs="Arial"/>
                <w:lang w:val="fr-BE"/>
              </w:rPr>
              <w:t xml:space="preserve"> sur lesquels est assur</w:t>
            </w:r>
            <w:r w:rsidR="00BA1BEA" w:rsidRPr="00755B9E">
              <w:rPr>
                <w:rFonts w:ascii="Arial" w:hAnsi="Arial" w:cs="Arial"/>
                <w:lang w:val="fr-BE"/>
              </w:rPr>
              <w:t xml:space="preserve">ée une direction </w:t>
            </w:r>
            <w:r w:rsidR="00BA1BEA" w:rsidRPr="00755B9E">
              <w:rPr>
                <w:rFonts w:ascii="Arial" w:hAnsi="Arial" w:cs="Arial"/>
                <w:b/>
                <w:lang w:val="fr-BE"/>
              </w:rPr>
              <w:t>hiérarchiqu</w:t>
            </w:r>
            <w:r w:rsidR="00537268" w:rsidRPr="00755B9E">
              <w:rPr>
                <w:rFonts w:ascii="Arial" w:hAnsi="Arial" w:cs="Arial"/>
                <w:b/>
                <w:lang w:val="fr-BE"/>
              </w:rPr>
              <w:t>e ou fonctionnelle</w:t>
            </w:r>
            <w:r w:rsidR="00BA1BEA" w:rsidRPr="00755B9E">
              <w:rPr>
                <w:rFonts w:ascii="Arial" w:hAnsi="Arial" w:cs="Arial"/>
                <w:lang w:val="fr-BE"/>
              </w:rPr>
              <w:t xml:space="preserve">: </w:t>
            </w:r>
          </w:p>
          <w:p w:rsidR="00F64CEB" w:rsidRPr="00755B9E" w:rsidRDefault="00755B9E" w:rsidP="00755B9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5B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8A4">
              <w:rPr>
                <w:rFonts w:ascii="Arial" w:hAnsi="Arial" w:cs="Arial"/>
                <w:sz w:val="20"/>
                <w:szCs w:val="20"/>
              </w:rPr>
            </w:r>
            <w:r w:rsidR="00356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B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B9E">
              <w:rPr>
                <w:rFonts w:ascii="Arial" w:hAnsi="Arial" w:cs="Arial"/>
                <w:sz w:val="20"/>
                <w:szCs w:val="20"/>
              </w:rPr>
              <w:t xml:space="preserve">  la fonction n’assure pas de direction</w:t>
            </w:r>
            <w:r w:rsidR="00794A98" w:rsidRPr="00755B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3568A4" w:rsidTr="006E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214" w:type="dxa"/>
            <w:gridSpan w:val="2"/>
            <w:shd w:val="clear" w:color="auto" w:fill="E6E6E6"/>
          </w:tcPr>
          <w:p w:rsidR="00231043" w:rsidRPr="003568A4" w:rsidRDefault="00231043" w:rsidP="005C001D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Master en urbanisme, droit, sciences humaines, administration, </w:t>
            </w:r>
            <w:r w:rsidR="00E516FF" w:rsidRPr="003568A4">
              <w:rPr>
                <w:rFonts w:ascii="Arial" w:hAnsi="Arial" w:cs="Arial"/>
                <w:lang w:val="fr-FR"/>
              </w:rPr>
              <w:t>communication</w:t>
            </w:r>
            <w:r w:rsidRPr="003568A4">
              <w:rPr>
                <w:rFonts w:ascii="Arial" w:hAnsi="Arial" w:cs="Arial"/>
                <w:lang w:val="fr-FR"/>
              </w:rPr>
              <w:t>…;</w:t>
            </w:r>
          </w:p>
          <w:p w:rsidR="00231043" w:rsidRPr="006E16A3" w:rsidRDefault="000510FD" w:rsidP="005C001D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B</w:t>
            </w:r>
            <w:r w:rsidR="00231043" w:rsidRPr="006E16A3">
              <w:rPr>
                <w:rFonts w:ascii="Arial" w:hAnsi="Arial" w:cs="Arial"/>
                <w:lang w:val="fr-BE"/>
              </w:rPr>
              <w:t xml:space="preserve">onne connaissance de la deuxième langue </w:t>
            </w:r>
            <w:r w:rsidRPr="006E16A3">
              <w:rPr>
                <w:rFonts w:ascii="Arial" w:hAnsi="Arial" w:cs="Arial"/>
                <w:lang w:val="fr-BE"/>
              </w:rPr>
              <w:t xml:space="preserve">officielle </w:t>
            </w:r>
            <w:r w:rsidR="00231043" w:rsidRPr="006E16A3">
              <w:rPr>
                <w:rFonts w:ascii="Arial" w:hAnsi="Arial" w:cs="Arial"/>
                <w:lang w:val="fr-BE"/>
              </w:rPr>
              <w:t>(</w:t>
            </w:r>
            <w:r w:rsidRPr="006E16A3">
              <w:rPr>
                <w:rFonts w:ascii="Arial" w:hAnsi="Arial" w:cs="Arial"/>
                <w:lang w:val="fr-BE"/>
              </w:rPr>
              <w:t xml:space="preserve">français ou néerlandais - </w:t>
            </w:r>
            <w:r w:rsidR="00231043" w:rsidRPr="006E16A3">
              <w:rPr>
                <w:rFonts w:ascii="Arial" w:hAnsi="Arial" w:cs="Arial"/>
                <w:lang w:val="fr-BE"/>
              </w:rPr>
              <w:t xml:space="preserve">niveau </w:t>
            </w:r>
            <w:proofErr w:type="spellStart"/>
            <w:r w:rsidR="00231043" w:rsidRPr="006E16A3">
              <w:rPr>
                <w:rFonts w:ascii="Arial" w:hAnsi="Arial" w:cs="Arial"/>
                <w:lang w:val="fr-BE"/>
              </w:rPr>
              <w:t>Selor</w:t>
            </w:r>
            <w:proofErr w:type="spellEnd"/>
            <w:r w:rsidR="00231043" w:rsidRPr="006E16A3">
              <w:rPr>
                <w:rFonts w:ascii="Arial" w:hAnsi="Arial" w:cs="Arial"/>
                <w:lang w:val="fr-BE"/>
              </w:rPr>
              <w:t>)</w:t>
            </w:r>
            <w:r w:rsidR="002F080D">
              <w:rPr>
                <w:rFonts w:ascii="Arial" w:hAnsi="Arial" w:cs="Arial"/>
                <w:lang w:val="fr-BE"/>
              </w:rPr>
              <w:t> ;</w:t>
            </w:r>
          </w:p>
          <w:p w:rsidR="00231043" w:rsidRDefault="00231043" w:rsidP="005C001D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467B47">
              <w:rPr>
                <w:rFonts w:ascii="Arial" w:hAnsi="Arial" w:cs="Arial"/>
                <w:lang w:val="fr-BE"/>
              </w:rPr>
              <w:t>Connaissances informatiques : suite Office, Internet Explorer, Outlook, …</w:t>
            </w:r>
            <w:r w:rsidR="002F080D">
              <w:rPr>
                <w:rFonts w:ascii="Arial" w:hAnsi="Arial" w:cs="Arial"/>
                <w:lang w:val="fr-BE"/>
              </w:rPr>
              <w:t> ;</w:t>
            </w:r>
          </w:p>
          <w:p w:rsidR="005418FA" w:rsidRPr="00467B47" w:rsidRDefault="005418FA" w:rsidP="005C001D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Expérience en matière de logement ;</w:t>
            </w:r>
          </w:p>
          <w:p w:rsidR="00124D7C" w:rsidRPr="00AD19B6" w:rsidRDefault="002F080D" w:rsidP="00AD19B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Bonne maitrise du Code bruxellois du L</w:t>
            </w:r>
            <w:r w:rsidR="00124D7C" w:rsidRPr="00467B47">
              <w:rPr>
                <w:rFonts w:ascii="Arial" w:hAnsi="Arial" w:cs="Arial"/>
                <w:lang w:val="fr-BE"/>
              </w:rPr>
              <w:t>ogement</w:t>
            </w:r>
            <w:r>
              <w:rPr>
                <w:rFonts w:ascii="Arial" w:hAnsi="Arial" w:cs="Arial"/>
                <w:lang w:val="fr-BE"/>
              </w:rPr>
              <w:t> ;</w:t>
            </w:r>
          </w:p>
          <w:p w:rsidR="00467B47" w:rsidRPr="006E16A3" w:rsidRDefault="00467B47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Capacité à col</w:t>
            </w:r>
            <w:r w:rsidR="002F080D">
              <w:rPr>
                <w:rFonts w:ascii="Arial" w:hAnsi="Arial" w:cs="Arial"/>
                <w:lang w:val="fr-BE"/>
              </w:rPr>
              <w:t>laborer avec ses collègues et à</w:t>
            </w:r>
            <w:r w:rsidRPr="006E16A3">
              <w:rPr>
                <w:rFonts w:ascii="Arial" w:hAnsi="Arial" w:cs="Arial"/>
                <w:lang w:val="fr-BE"/>
              </w:rPr>
              <w:t xml:space="preserve"> contribuer au maint</w:t>
            </w:r>
            <w:r w:rsidR="005C001D">
              <w:rPr>
                <w:rFonts w:ascii="Arial" w:hAnsi="Arial" w:cs="Arial"/>
                <w:lang w:val="fr-BE"/>
              </w:rPr>
              <w:t>ien d’un environnement agréable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467B47" w:rsidRPr="003568A4" w:rsidRDefault="00467B47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Agir de manière transparente, intègre et objective, entretenir des contacts constructifs, transmettre et partager ses connaissances ;</w:t>
            </w:r>
          </w:p>
          <w:p w:rsidR="00467B47" w:rsidRPr="006E16A3" w:rsidRDefault="00467B47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Sens de la déontologie : c</w:t>
            </w:r>
            <w:r w:rsidRPr="006E16A3">
              <w:rPr>
                <w:rFonts w:ascii="Arial" w:hAnsi="Arial" w:cs="Arial"/>
                <w:lang w:val="fr-BE"/>
              </w:rPr>
              <w:t>apacité à faire preuve de droiture, de réserve, de respect des réglementations et de loyauté dans l’exercice de sa fonction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6E16A3" w:rsidRPr="003568A4" w:rsidRDefault="006E16A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 xml:space="preserve">Coordonner les différents projets, tâches et faire </w:t>
            </w:r>
            <w:r w:rsidR="002F080D" w:rsidRPr="003568A4">
              <w:rPr>
                <w:rFonts w:ascii="Arial" w:hAnsi="Arial" w:cs="Arial"/>
                <w:lang w:val="fr-FR"/>
              </w:rPr>
              <w:t>en sorte qu’ils aboutissent ;</w:t>
            </w:r>
          </w:p>
          <w:p w:rsidR="005418FA" w:rsidRPr="003568A4" w:rsidRDefault="005418FA" w:rsidP="005418FA">
            <w:pPr>
              <w:pStyle w:val="Lijstaline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lang w:val="fr-FR"/>
              </w:rPr>
              <w:t>Avoir l’esprit d’initiative et de la responsabilité (savoir prendre des décisions,</w:t>
            </w:r>
            <w:r w:rsidRPr="006E16A3">
              <w:rPr>
                <w:rFonts w:ascii="Arial" w:hAnsi="Arial" w:cs="Arial"/>
                <w:lang w:val="fr-BE"/>
              </w:rPr>
              <w:t xml:space="preserve"> faire face à une situation imprévue</w:t>
            </w:r>
            <w:r w:rsidRPr="003568A4">
              <w:rPr>
                <w:rFonts w:ascii="Arial" w:hAnsi="Arial" w:cs="Arial"/>
                <w:lang w:val="fr-FR"/>
              </w:rPr>
              <w:t>)</w:t>
            </w:r>
          </w:p>
          <w:p w:rsidR="006E16A3" w:rsidRPr="003568A4" w:rsidRDefault="006E16A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FR"/>
              </w:rPr>
            </w:pPr>
            <w:r w:rsidRPr="003568A4">
              <w:rPr>
                <w:rFonts w:ascii="Arial" w:hAnsi="Arial" w:cs="Arial"/>
                <w:bCs/>
                <w:lang w:val="fr-FR"/>
              </w:rPr>
              <w:t>T</w:t>
            </w:r>
            <w:r w:rsidRPr="003568A4">
              <w:rPr>
                <w:rFonts w:ascii="Arial" w:hAnsi="Arial" w:cs="Arial"/>
                <w:lang w:val="fr-FR"/>
              </w:rPr>
              <w:t>raiter et résoudre les problèmes de manière autonome, chercher des alternatives et mettre en œuvre les sol</w:t>
            </w:r>
            <w:r w:rsidR="002F080D" w:rsidRPr="003568A4">
              <w:rPr>
                <w:rFonts w:ascii="Arial" w:hAnsi="Arial" w:cs="Arial"/>
                <w:lang w:val="fr-FR"/>
              </w:rPr>
              <w:t>utions ;</w:t>
            </w:r>
          </w:p>
          <w:p w:rsidR="00231043" w:rsidRPr="006E16A3" w:rsidRDefault="0023104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Capacité de logique et d’analyse pour résoudre divers problèmes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6E16A3" w:rsidRPr="006E16A3" w:rsidRDefault="002F080D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Bon sens de la négociation ;</w:t>
            </w:r>
          </w:p>
          <w:p w:rsidR="000510FD" w:rsidRPr="005C001D" w:rsidRDefault="006E16A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lastRenderedPageBreak/>
              <w:t xml:space="preserve">Bonne capacité </w:t>
            </w:r>
            <w:r w:rsidR="008A099E" w:rsidRPr="006E16A3">
              <w:rPr>
                <w:rFonts w:ascii="Arial" w:hAnsi="Arial" w:cs="Arial"/>
                <w:lang w:val="fr-BE"/>
              </w:rPr>
              <w:t>rédactionnelle</w:t>
            </w:r>
            <w:r w:rsidR="005C001D">
              <w:rPr>
                <w:rFonts w:ascii="Arial" w:hAnsi="Arial" w:cs="Arial"/>
                <w:lang w:val="fr-BE"/>
              </w:rPr>
              <w:t> ;</w:t>
            </w:r>
          </w:p>
          <w:p w:rsidR="000510FD" w:rsidRPr="006E16A3" w:rsidRDefault="000510FD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Capacité à récolter, centraliser et synthétiser l’information</w:t>
            </w:r>
            <w:r w:rsidR="002F080D">
              <w:rPr>
                <w:rFonts w:ascii="Arial" w:hAnsi="Arial" w:cs="Arial"/>
                <w:lang w:val="fr-BE"/>
              </w:rPr>
              <w:t> ;</w:t>
            </w:r>
          </w:p>
          <w:p w:rsidR="000510FD" w:rsidRPr="006E16A3" w:rsidRDefault="000510FD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Avoir le sens des priorités et être enclin à adapter son travail en fonction de celles-ci</w:t>
            </w:r>
            <w:r w:rsidR="002F080D">
              <w:rPr>
                <w:rFonts w:ascii="Arial" w:hAnsi="Arial" w:cs="Arial"/>
                <w:lang w:val="fr-BE"/>
              </w:rPr>
              <w:t> ;</w:t>
            </w:r>
          </w:p>
          <w:p w:rsidR="005C001D" w:rsidRPr="006E16A3" w:rsidRDefault="005C001D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Capacité à exécuter l’ensemble des</w:t>
            </w:r>
            <w:r>
              <w:rPr>
                <w:rFonts w:ascii="Arial" w:hAnsi="Arial" w:cs="Arial"/>
                <w:lang w:val="fr-BE"/>
              </w:rPr>
              <w:t xml:space="preserve"> tâches dans les délais imposés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0510FD" w:rsidRPr="006E16A3" w:rsidRDefault="000510FD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Capacité à développer un réseau de manière transversale en collaboration avec d’autres services</w:t>
            </w:r>
            <w:r w:rsidR="002F080D">
              <w:rPr>
                <w:rFonts w:ascii="Arial" w:hAnsi="Arial" w:cs="Arial"/>
                <w:lang w:val="fr-BE"/>
              </w:rPr>
              <w:t> ;</w:t>
            </w:r>
          </w:p>
          <w:p w:rsidR="00231043" w:rsidRPr="006E16A3" w:rsidRDefault="0023104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Capacité à communiquer avec ses collègue</w:t>
            </w:r>
            <w:r w:rsidR="000510FD" w:rsidRPr="006E16A3">
              <w:rPr>
                <w:rFonts w:ascii="Arial" w:hAnsi="Arial" w:cs="Arial"/>
                <w:lang w:val="fr-BE"/>
              </w:rPr>
              <w:t>s, sa hiérarchie, les habitants</w:t>
            </w:r>
            <w:r w:rsidRPr="006E16A3">
              <w:rPr>
                <w:rFonts w:ascii="Arial" w:hAnsi="Arial" w:cs="Arial"/>
                <w:lang w:val="fr-BE"/>
              </w:rPr>
              <w:t xml:space="preserve"> et </w:t>
            </w:r>
            <w:r w:rsidR="000510FD" w:rsidRPr="006E16A3">
              <w:rPr>
                <w:rFonts w:ascii="Arial" w:hAnsi="Arial" w:cs="Arial"/>
                <w:lang w:val="fr-BE"/>
              </w:rPr>
              <w:t>d’</w:t>
            </w:r>
            <w:r w:rsidRPr="006E16A3">
              <w:rPr>
                <w:rFonts w:ascii="Arial" w:hAnsi="Arial" w:cs="Arial"/>
                <w:lang w:val="fr-BE"/>
              </w:rPr>
              <w:t>autres service</w:t>
            </w:r>
            <w:r w:rsidR="000510FD" w:rsidRPr="006E16A3">
              <w:rPr>
                <w:rFonts w:ascii="Arial" w:hAnsi="Arial" w:cs="Arial"/>
                <w:lang w:val="fr-BE"/>
              </w:rPr>
              <w:t>s internes ou externes</w:t>
            </w:r>
            <w:r w:rsidR="005C001D">
              <w:rPr>
                <w:rFonts w:ascii="Arial" w:hAnsi="Arial" w:cs="Arial"/>
                <w:lang w:val="fr-BE"/>
              </w:rPr>
              <w:t> ;</w:t>
            </w:r>
          </w:p>
          <w:p w:rsidR="00231043" w:rsidRPr="006E16A3" w:rsidRDefault="0023104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 xml:space="preserve">Respecter les </w:t>
            </w:r>
            <w:r w:rsidR="000510FD" w:rsidRPr="006E16A3">
              <w:rPr>
                <w:rFonts w:ascii="Arial" w:hAnsi="Arial" w:cs="Arial"/>
                <w:lang w:val="fr-BE"/>
              </w:rPr>
              <w:t>directives et les diverses législations en vigueur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5C001D" w:rsidRPr="005C001D" w:rsidRDefault="005C001D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Travailler de manière méthodique, précise et rigoureuse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231043" w:rsidRPr="006E16A3" w:rsidRDefault="0023104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6E16A3">
              <w:rPr>
                <w:rFonts w:ascii="Arial" w:hAnsi="Arial" w:cs="Arial"/>
                <w:lang w:val="fr-BE"/>
              </w:rPr>
              <w:t>Etre dynamique, disponible et flexible</w:t>
            </w:r>
            <w:r w:rsidR="002F080D">
              <w:rPr>
                <w:rFonts w:ascii="Arial" w:hAnsi="Arial" w:cs="Arial"/>
                <w:lang w:val="fr-BE"/>
              </w:rPr>
              <w:t xml:space="preserve"> </w:t>
            </w:r>
            <w:r w:rsidRPr="006E16A3">
              <w:rPr>
                <w:rFonts w:ascii="Arial" w:hAnsi="Arial" w:cs="Arial"/>
                <w:lang w:val="fr-BE"/>
              </w:rPr>
              <w:t>;</w:t>
            </w:r>
          </w:p>
          <w:p w:rsidR="007D65F7" w:rsidRPr="005C001D" w:rsidRDefault="00231043" w:rsidP="005C001D">
            <w:pPr>
              <w:pStyle w:val="Lijstalinea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fr-BE"/>
              </w:rPr>
            </w:pPr>
            <w:r w:rsidRPr="00467B47">
              <w:rPr>
                <w:rFonts w:ascii="Arial" w:hAnsi="Arial" w:cs="Arial"/>
                <w:lang w:val="fr-BE"/>
              </w:rPr>
              <w:t>Capacité à s’investir dans sa fonction, à maintenir son niveau de performance, à mettre à niveau ses compétences.</w:t>
            </w:r>
          </w:p>
        </w:tc>
      </w:tr>
    </w:tbl>
    <w:p w:rsidR="00680C56" w:rsidRDefault="00680C56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p w:rsidR="00231043" w:rsidRPr="00632A7A" w:rsidRDefault="00231043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  <w:r w:rsidRPr="00632A7A">
        <w:rPr>
          <w:rFonts w:ascii="Arial" w:hAnsi="Arial" w:cs="Arial"/>
          <w:sz w:val="16"/>
          <w:szCs w:val="16"/>
          <w:lang w:val="fr-BE"/>
        </w:rPr>
        <w:t>La loi de continuité et de régularité</w:t>
      </w:r>
    </w:p>
    <w:p w:rsidR="00231043" w:rsidRPr="00632A7A" w:rsidRDefault="00231043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  <w:r w:rsidRPr="00632A7A">
        <w:rPr>
          <w:rFonts w:ascii="Arial" w:hAnsi="Arial" w:cs="Arial"/>
          <w:sz w:val="16"/>
          <w:szCs w:val="16"/>
          <w:lang w:val="fr-BE"/>
        </w:rPr>
        <w:t>« Le service public doit fonctionner de manière continue et régulière, sans interruption, ni suspension. »</w:t>
      </w:r>
    </w:p>
    <w:p w:rsidR="00231043" w:rsidRDefault="00231043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  <w:r w:rsidRPr="00632A7A">
        <w:rPr>
          <w:rFonts w:ascii="Arial" w:hAnsi="Arial" w:cs="Arial"/>
          <w:sz w:val="16"/>
          <w:szCs w:val="16"/>
          <w:lang w:val="fr-BE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3568A4" w:rsidRDefault="003568A4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p w:rsidR="003568A4" w:rsidRDefault="003568A4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p w:rsidR="003568A4" w:rsidRDefault="003568A4" w:rsidP="00231043">
      <w:pPr>
        <w:contextualSpacing/>
        <w:rPr>
          <w:rFonts w:ascii="Arial" w:hAnsi="Arial" w:cs="Arial"/>
          <w:sz w:val="16"/>
          <w:szCs w:val="16"/>
          <w:lang w:val="fr-BE"/>
        </w:rPr>
      </w:pP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Données pratiques </w:t>
      </w: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Envoyer un CV accompagné d’une lettre de motivation signée + </w:t>
      </w:r>
      <w:r>
        <w:rPr>
          <w:b/>
          <w:bCs/>
          <w:color w:val="1F497D"/>
          <w:lang w:val="fr-FR"/>
        </w:rPr>
        <w:t>copie</w:t>
      </w:r>
      <w:r>
        <w:rPr>
          <w:color w:val="1F497D"/>
          <w:lang w:val="fr-FR"/>
        </w:rPr>
        <w:t xml:space="preserve"> diplôme requis  </w:t>
      </w: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:rsidR="003568A4" w:rsidRDefault="003568A4" w:rsidP="003568A4">
      <w:pPr>
        <w:autoSpaceDE w:val="0"/>
        <w:autoSpaceDN w:val="0"/>
        <w:rPr>
          <w:rFonts w:ascii="Arial" w:hAnsi="Arial" w:cs="Arial"/>
          <w:color w:val="000000"/>
          <w:lang w:val="fr-FR" w:eastAsia="nl-BE"/>
        </w:rPr>
      </w:pPr>
      <w:r>
        <w:rPr>
          <w:color w:val="1F497D"/>
          <w:lang w:val="fr-FR"/>
        </w:rPr>
        <w:t xml:space="preserve">Service GRH - Référence </w:t>
      </w:r>
      <w:r>
        <w:rPr>
          <w:rFonts w:ascii="Arial" w:hAnsi="Arial" w:cs="Arial"/>
          <w:color w:val="000000"/>
          <w:lang w:val="fr-FR" w:eastAsia="nl-BE"/>
        </w:rPr>
        <w:t>«service Logement»</w:t>
      </w:r>
    </w:p>
    <w:p w:rsidR="003568A4" w:rsidRDefault="003568A4" w:rsidP="003568A4">
      <w:pPr>
        <w:rPr>
          <w:rFonts w:ascii="Calibri" w:hAnsi="Calibri"/>
          <w:color w:val="1F497D"/>
          <w:lang w:val="fr-FR" w:eastAsia="en-US"/>
        </w:rPr>
      </w:pP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:rsidR="003568A4" w:rsidRDefault="003568A4" w:rsidP="003568A4">
      <w:pPr>
        <w:rPr>
          <w:color w:val="1F497D"/>
          <w:lang w:val="fr-FR"/>
        </w:rPr>
      </w:pPr>
      <w:hyperlink r:id="rId10" w:history="1">
        <w:r>
          <w:rPr>
            <w:rStyle w:val="Hyperlink"/>
            <w:color w:val="1F497D"/>
            <w:lang w:val="fr-FR"/>
          </w:rPr>
          <w:t>candidature@molenbeek.irisnet.be</w:t>
        </w:r>
      </w:hyperlink>
      <w:r>
        <w:rPr>
          <w:color w:val="1F497D"/>
          <w:lang w:val="fr-FR"/>
        </w:rPr>
        <w:t xml:space="preserve"> </w:t>
      </w:r>
    </w:p>
    <w:p w:rsidR="003568A4" w:rsidRDefault="003568A4" w:rsidP="003568A4">
      <w:pPr>
        <w:rPr>
          <w:color w:val="1F497D"/>
          <w:lang w:val="fr-FR"/>
        </w:rPr>
      </w:pPr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3568A4" w:rsidRDefault="003568A4" w:rsidP="003568A4">
      <w:pPr>
        <w:rPr>
          <w:color w:val="1F497D"/>
          <w:lang w:val="fr-FR"/>
        </w:rPr>
      </w:pPr>
    </w:p>
    <w:p w:rsidR="003568A4" w:rsidRDefault="003568A4" w:rsidP="003568A4">
      <w:pPr>
        <w:rPr>
          <w:color w:val="1F497D"/>
          <w:lang w:val="fr-FR"/>
        </w:rPr>
      </w:pPr>
    </w:p>
    <w:p w:rsidR="003568A4" w:rsidRDefault="003568A4" w:rsidP="003568A4">
      <w:pPr>
        <w:rPr>
          <w:color w:val="1F497D"/>
          <w:lang w:val="fr-FR"/>
        </w:rPr>
      </w:pPr>
    </w:p>
    <w:p w:rsidR="003568A4" w:rsidRDefault="003568A4" w:rsidP="003568A4">
      <w:pPr>
        <w:rPr>
          <w:lang w:val="fr-FR"/>
        </w:rPr>
      </w:pPr>
    </w:p>
    <w:p w:rsidR="003568A4" w:rsidRPr="003568A4" w:rsidRDefault="003568A4" w:rsidP="00231043">
      <w:pPr>
        <w:contextualSpacing/>
        <w:rPr>
          <w:rFonts w:ascii="Arial" w:hAnsi="Arial" w:cs="Arial"/>
          <w:sz w:val="16"/>
          <w:szCs w:val="16"/>
          <w:lang w:val="fr-FR"/>
        </w:rPr>
      </w:pPr>
      <w:bookmarkStart w:id="0" w:name="_GoBack"/>
      <w:bookmarkEnd w:id="0"/>
    </w:p>
    <w:p w:rsidR="0092312F" w:rsidRPr="00736DD5" w:rsidRDefault="0092312F">
      <w:pPr>
        <w:rPr>
          <w:lang w:val="fr-FR"/>
        </w:rPr>
      </w:pPr>
    </w:p>
    <w:sectPr w:rsidR="0092312F" w:rsidRPr="00736DD5" w:rsidSect="00736DD5">
      <w:footerReference w:type="default" r:id="rId11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ED" w:rsidRDefault="000324ED">
      <w:r>
        <w:separator/>
      </w:r>
    </w:p>
  </w:endnote>
  <w:endnote w:type="continuationSeparator" w:id="0">
    <w:p w:rsidR="000324ED" w:rsidRDefault="0003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3568A4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3568A4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ED" w:rsidRDefault="000324ED">
      <w:r>
        <w:separator/>
      </w:r>
    </w:p>
  </w:footnote>
  <w:footnote w:type="continuationSeparator" w:id="0">
    <w:p w:rsidR="000324ED" w:rsidRDefault="0003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1B22DD"/>
    <w:multiLevelType w:val="hybridMultilevel"/>
    <w:tmpl w:val="659A3EC4"/>
    <w:lvl w:ilvl="0" w:tplc="E6085450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63750"/>
    <w:multiLevelType w:val="hybridMultilevel"/>
    <w:tmpl w:val="1E7E1FE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66A394B"/>
    <w:multiLevelType w:val="hybridMultilevel"/>
    <w:tmpl w:val="F0429812"/>
    <w:lvl w:ilvl="0" w:tplc="E608545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A270B"/>
    <w:multiLevelType w:val="hybridMultilevel"/>
    <w:tmpl w:val="44F0204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7042D"/>
    <w:multiLevelType w:val="hybridMultilevel"/>
    <w:tmpl w:val="CB227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04580"/>
    <w:multiLevelType w:val="hybridMultilevel"/>
    <w:tmpl w:val="6276AB22"/>
    <w:lvl w:ilvl="0" w:tplc="3322F49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10A1B22"/>
    <w:multiLevelType w:val="hybridMultilevel"/>
    <w:tmpl w:val="B53C45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400388"/>
    <w:multiLevelType w:val="hybridMultilevel"/>
    <w:tmpl w:val="1EF0431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F6C4F"/>
    <w:multiLevelType w:val="hybridMultilevel"/>
    <w:tmpl w:val="08A275AE"/>
    <w:lvl w:ilvl="0" w:tplc="45C4BB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7025F"/>
    <w:multiLevelType w:val="hybridMultilevel"/>
    <w:tmpl w:val="EF3E9C30"/>
    <w:lvl w:ilvl="0" w:tplc="546C2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83CF4"/>
    <w:multiLevelType w:val="hybridMultilevel"/>
    <w:tmpl w:val="7884C2F4"/>
    <w:lvl w:ilvl="0" w:tplc="E608545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9ED4096"/>
    <w:multiLevelType w:val="hybridMultilevel"/>
    <w:tmpl w:val="97BC9B14"/>
    <w:lvl w:ilvl="0" w:tplc="08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5738CD"/>
    <w:multiLevelType w:val="hybridMultilevel"/>
    <w:tmpl w:val="FAB0B66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13E62"/>
    <w:multiLevelType w:val="multilevel"/>
    <w:tmpl w:val="0560A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324B2"/>
    <w:multiLevelType w:val="hybridMultilevel"/>
    <w:tmpl w:val="E0107E6E"/>
    <w:lvl w:ilvl="0" w:tplc="E6085450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13"/>
  </w:num>
  <w:num w:numId="5">
    <w:abstractNumId w:val="28"/>
  </w:num>
  <w:num w:numId="6">
    <w:abstractNumId w:val="26"/>
  </w:num>
  <w:num w:numId="7">
    <w:abstractNumId w:val="14"/>
  </w:num>
  <w:num w:numId="8">
    <w:abstractNumId w:val="0"/>
  </w:num>
  <w:num w:numId="9">
    <w:abstractNumId w:val="27"/>
  </w:num>
  <w:num w:numId="10">
    <w:abstractNumId w:val="31"/>
  </w:num>
  <w:num w:numId="11">
    <w:abstractNumId w:val="21"/>
  </w:num>
  <w:num w:numId="12">
    <w:abstractNumId w:val="25"/>
  </w:num>
  <w:num w:numId="13">
    <w:abstractNumId w:val="6"/>
  </w:num>
  <w:num w:numId="14">
    <w:abstractNumId w:val="15"/>
  </w:num>
  <w:num w:numId="15">
    <w:abstractNumId w:val="18"/>
  </w:num>
  <w:num w:numId="16">
    <w:abstractNumId w:val="22"/>
  </w:num>
  <w:num w:numId="17">
    <w:abstractNumId w:val="34"/>
  </w:num>
  <w:num w:numId="18">
    <w:abstractNumId w:val="2"/>
  </w:num>
  <w:num w:numId="19">
    <w:abstractNumId w:val="24"/>
  </w:num>
  <w:num w:numId="20">
    <w:abstractNumId w:val="29"/>
  </w:num>
  <w:num w:numId="21">
    <w:abstractNumId w:val="30"/>
  </w:num>
  <w:num w:numId="22">
    <w:abstractNumId w:val="8"/>
  </w:num>
  <w:num w:numId="23">
    <w:abstractNumId w:val="20"/>
  </w:num>
  <w:num w:numId="24">
    <w:abstractNumId w:val="7"/>
  </w:num>
  <w:num w:numId="25">
    <w:abstractNumId w:val="4"/>
  </w:num>
  <w:num w:numId="26">
    <w:abstractNumId w:val="32"/>
  </w:num>
  <w:num w:numId="27">
    <w:abstractNumId w:val="1"/>
  </w:num>
  <w:num w:numId="28">
    <w:abstractNumId w:val="3"/>
  </w:num>
  <w:num w:numId="29">
    <w:abstractNumId w:val="19"/>
  </w:num>
  <w:num w:numId="30">
    <w:abstractNumId w:val="9"/>
  </w:num>
  <w:num w:numId="31">
    <w:abstractNumId w:val="23"/>
  </w:num>
  <w:num w:numId="32">
    <w:abstractNumId w:val="10"/>
  </w:num>
  <w:num w:numId="33">
    <w:abstractNumId w:val="11"/>
  </w:num>
  <w:num w:numId="34">
    <w:abstractNumId w:val="17"/>
  </w:num>
  <w:num w:numId="3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324ED"/>
    <w:rsid w:val="00041301"/>
    <w:rsid w:val="000510FD"/>
    <w:rsid w:val="000644DF"/>
    <w:rsid w:val="000716C0"/>
    <w:rsid w:val="000A5DD7"/>
    <w:rsid w:val="000B6704"/>
    <w:rsid w:val="000C6D53"/>
    <w:rsid w:val="000D00DC"/>
    <w:rsid w:val="000E21E3"/>
    <w:rsid w:val="000F31E4"/>
    <w:rsid w:val="00124D7C"/>
    <w:rsid w:val="00140B7D"/>
    <w:rsid w:val="00175127"/>
    <w:rsid w:val="00176070"/>
    <w:rsid w:val="001A57A7"/>
    <w:rsid w:val="001B1167"/>
    <w:rsid w:val="001F1732"/>
    <w:rsid w:val="001F6498"/>
    <w:rsid w:val="001F6A92"/>
    <w:rsid w:val="002058A1"/>
    <w:rsid w:val="00217642"/>
    <w:rsid w:val="002176A4"/>
    <w:rsid w:val="002231F4"/>
    <w:rsid w:val="00225F80"/>
    <w:rsid w:val="00230287"/>
    <w:rsid w:val="00231043"/>
    <w:rsid w:val="00234BAD"/>
    <w:rsid w:val="002775F0"/>
    <w:rsid w:val="002A5C1E"/>
    <w:rsid w:val="002C7C2E"/>
    <w:rsid w:val="002D20EB"/>
    <w:rsid w:val="002F080D"/>
    <w:rsid w:val="002F29F9"/>
    <w:rsid w:val="003162BA"/>
    <w:rsid w:val="00321322"/>
    <w:rsid w:val="00331D58"/>
    <w:rsid w:val="00337388"/>
    <w:rsid w:val="00341085"/>
    <w:rsid w:val="003568A4"/>
    <w:rsid w:val="003845D4"/>
    <w:rsid w:val="003865A3"/>
    <w:rsid w:val="003B73D3"/>
    <w:rsid w:val="003C09B2"/>
    <w:rsid w:val="003C5D0F"/>
    <w:rsid w:val="00417193"/>
    <w:rsid w:val="0044571B"/>
    <w:rsid w:val="004634DB"/>
    <w:rsid w:val="00467B47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418FA"/>
    <w:rsid w:val="0054746D"/>
    <w:rsid w:val="00563E94"/>
    <w:rsid w:val="005745C9"/>
    <w:rsid w:val="00574F91"/>
    <w:rsid w:val="00586873"/>
    <w:rsid w:val="005971B5"/>
    <w:rsid w:val="005B13D8"/>
    <w:rsid w:val="005C001D"/>
    <w:rsid w:val="005C7D7F"/>
    <w:rsid w:val="005E32B1"/>
    <w:rsid w:val="005F6250"/>
    <w:rsid w:val="0061568E"/>
    <w:rsid w:val="00637EE5"/>
    <w:rsid w:val="006515E5"/>
    <w:rsid w:val="006660DD"/>
    <w:rsid w:val="00680C56"/>
    <w:rsid w:val="00687C4D"/>
    <w:rsid w:val="006A3BB8"/>
    <w:rsid w:val="006C2E88"/>
    <w:rsid w:val="006E16A3"/>
    <w:rsid w:val="00714CE9"/>
    <w:rsid w:val="00715FF0"/>
    <w:rsid w:val="00717D5F"/>
    <w:rsid w:val="00735E9C"/>
    <w:rsid w:val="00736DD5"/>
    <w:rsid w:val="00755B9E"/>
    <w:rsid w:val="00767209"/>
    <w:rsid w:val="00792A8A"/>
    <w:rsid w:val="00794A98"/>
    <w:rsid w:val="007A6978"/>
    <w:rsid w:val="007D5BC2"/>
    <w:rsid w:val="007D65F7"/>
    <w:rsid w:val="007E58F5"/>
    <w:rsid w:val="0085142D"/>
    <w:rsid w:val="00854DDE"/>
    <w:rsid w:val="00856C2E"/>
    <w:rsid w:val="00861BCA"/>
    <w:rsid w:val="0086201D"/>
    <w:rsid w:val="00863E73"/>
    <w:rsid w:val="00865D00"/>
    <w:rsid w:val="00872BEF"/>
    <w:rsid w:val="008A099E"/>
    <w:rsid w:val="008A677F"/>
    <w:rsid w:val="008B08D2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169C"/>
    <w:rsid w:val="00973242"/>
    <w:rsid w:val="009941A3"/>
    <w:rsid w:val="009C396D"/>
    <w:rsid w:val="009D4406"/>
    <w:rsid w:val="00A349EC"/>
    <w:rsid w:val="00A56B85"/>
    <w:rsid w:val="00A92058"/>
    <w:rsid w:val="00A94CC0"/>
    <w:rsid w:val="00AD19B6"/>
    <w:rsid w:val="00AD2C3E"/>
    <w:rsid w:val="00AF3549"/>
    <w:rsid w:val="00B14113"/>
    <w:rsid w:val="00B50E4A"/>
    <w:rsid w:val="00B62EA7"/>
    <w:rsid w:val="00B65F25"/>
    <w:rsid w:val="00B809B4"/>
    <w:rsid w:val="00B84FDC"/>
    <w:rsid w:val="00BA1BEA"/>
    <w:rsid w:val="00BB7E33"/>
    <w:rsid w:val="00BD38F2"/>
    <w:rsid w:val="00BD4C04"/>
    <w:rsid w:val="00BE34BA"/>
    <w:rsid w:val="00BF109F"/>
    <w:rsid w:val="00BF5E45"/>
    <w:rsid w:val="00BF7E0E"/>
    <w:rsid w:val="00C1438C"/>
    <w:rsid w:val="00C2543F"/>
    <w:rsid w:val="00CC3849"/>
    <w:rsid w:val="00CC3DA8"/>
    <w:rsid w:val="00CD581E"/>
    <w:rsid w:val="00CD6535"/>
    <w:rsid w:val="00CE69AF"/>
    <w:rsid w:val="00D03B89"/>
    <w:rsid w:val="00D07E7A"/>
    <w:rsid w:val="00D34FC8"/>
    <w:rsid w:val="00D365AD"/>
    <w:rsid w:val="00D51ABC"/>
    <w:rsid w:val="00D61A0D"/>
    <w:rsid w:val="00D76694"/>
    <w:rsid w:val="00DD1B83"/>
    <w:rsid w:val="00DE2980"/>
    <w:rsid w:val="00DF31AD"/>
    <w:rsid w:val="00E2284E"/>
    <w:rsid w:val="00E24234"/>
    <w:rsid w:val="00E31299"/>
    <w:rsid w:val="00E4024A"/>
    <w:rsid w:val="00E41485"/>
    <w:rsid w:val="00E516FF"/>
    <w:rsid w:val="00E5379F"/>
    <w:rsid w:val="00E627E9"/>
    <w:rsid w:val="00E830D3"/>
    <w:rsid w:val="00E852A0"/>
    <w:rsid w:val="00EA7737"/>
    <w:rsid w:val="00EC192D"/>
    <w:rsid w:val="00EE6108"/>
    <w:rsid w:val="00F1415A"/>
    <w:rsid w:val="00F32640"/>
    <w:rsid w:val="00F34492"/>
    <w:rsid w:val="00F55470"/>
    <w:rsid w:val="00F60CEE"/>
    <w:rsid w:val="00F64CEB"/>
    <w:rsid w:val="00FA6A07"/>
    <w:rsid w:val="00FB154E"/>
    <w:rsid w:val="00FC4287"/>
    <w:rsid w:val="00FD73FE"/>
    <w:rsid w:val="00FE4063"/>
    <w:rsid w:val="00FF535C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41719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41719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7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2E1A-419C-4FB1-89C7-713B4613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938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6543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2020-01-14T14:55:00Z</cp:lastPrinted>
  <dcterms:created xsi:type="dcterms:W3CDTF">2020-01-24T07:07:00Z</dcterms:created>
  <dcterms:modified xsi:type="dcterms:W3CDTF">2020-01-24T07:07:00Z</dcterms:modified>
</cp:coreProperties>
</file>