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8755A4" w:rsidRDefault="00B14113" w:rsidP="00B14113">
            <w:pPr>
              <w:pStyle w:val="Kop2"/>
              <w:rPr>
                <w:sz w:val="28"/>
                <w:lang w:val="fr-FR"/>
              </w:rPr>
            </w:pPr>
            <w:r w:rsidRPr="008755A4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8755A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6515E5" w:rsidRPr="008755A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………</w:t>
            </w:r>
            <w:r w:rsidR="006D7DCB" w:rsidRPr="008755A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INFIRMIERE CRECHE</w:t>
            </w:r>
            <w:r w:rsidR="006515E5" w:rsidRPr="008755A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……………H/F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……</w:t>
            </w:r>
            <w:r w:rsidR="006D7DC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……</w:t>
            </w:r>
            <w:proofErr w:type="gramStart"/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…….</w:t>
            </w:r>
            <w:proofErr w:type="gramEnd"/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.</w:t>
            </w:r>
            <w:r w:rsidR="008755A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mi temps</w:t>
            </w:r>
            <w:bookmarkStart w:id="0" w:name="_GoBack"/>
            <w:bookmarkEnd w:id="0"/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………</w:t>
            </w:r>
            <w:r w:rsidR="006D7DC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CRECHES COMMUNALES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……….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6D7DCB" w:rsidRDefault="00B14113" w:rsidP="006D7DCB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6D7DC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DEPARTEMENT </w:t>
            </w:r>
            <w:proofErr w:type="gramStart"/>
            <w:r w:rsidR="006D7DC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ENSEIGNEMENT,PETITE</w:t>
            </w:r>
            <w:proofErr w:type="gramEnd"/>
            <w:r w:rsidR="006D7DC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ENFANCE,SPORTS ET JEUNESSE</w:t>
            </w:r>
          </w:p>
          <w:p w:rsidR="006D7DCB" w:rsidRPr="00B14113" w:rsidRDefault="006D7DCB" w:rsidP="006D7DCB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6D7DCB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6D7DC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11/01/2021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6D7DCB" w:rsidP="00E852A0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1" w:name="CaseACocher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8755A4">
              <w:rPr>
                <w:rFonts w:ascii="Arial" w:hAnsi="Arial" w:cs="Arial"/>
                <w:sz w:val="22"/>
                <w:szCs w:val="22"/>
              </w:rPr>
            </w:r>
            <w:r w:rsidR="00875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gestionnaire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      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8755A4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6D7DCB" w:rsidRPr="0061161F" w:rsidRDefault="006D7DCB" w:rsidP="006D7DCB">
            <w:pPr>
              <w:ind w:left="135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L'infirmière </w:t>
            </w: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seconde la directrice dans ses fonctions.</w:t>
            </w:r>
          </w:p>
          <w:p w:rsidR="006D7DCB" w:rsidRDefault="006D7DCB" w:rsidP="006D7DC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Elle participe à l'élaboration et à la mise en œuvre du projet éducatif</w:t>
            </w:r>
            <w:r w:rsidR="00674798">
              <w:rPr>
                <w:rFonts w:ascii="Arial" w:hAnsi="Arial" w:cs="Arial"/>
                <w:sz w:val="22"/>
                <w:szCs w:val="22"/>
                <w:lang w:val="fr-BE"/>
              </w:rPr>
              <w:t>/ pédagogique</w:t>
            </w: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 xml:space="preserve"> ainsi qu'à l'organisation générale de la crèche</w:t>
            </w:r>
            <w:r w:rsidRPr="0061161F">
              <w:rPr>
                <w:rFonts w:ascii="Arial" w:hAnsi="Arial" w:cs="Arial"/>
                <w:kern w:val="32"/>
                <w:lang w:val="fr-BE"/>
              </w:rPr>
              <w:t xml:space="preserve">. </w:t>
            </w:r>
          </w:p>
          <w:p w:rsidR="007D5BC2" w:rsidRPr="007D5BC2" w:rsidRDefault="006D7DCB" w:rsidP="006D7DCB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>En tant qu’infirmier en milieu d’acc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ueil de la petite enfance, contribuer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 au développement de</w:t>
            </w:r>
            <w:r w:rsidRPr="00D4456E">
              <w:rPr>
                <w:rFonts w:ascii="Arial" w:hAnsi="Arial" w:cs="Arial"/>
                <w:kern w:val="32"/>
                <w:lang w:val="fr-BE"/>
              </w:rPr>
              <w:t xml:space="preserve"> 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l’enfant, en favorisant son autonomie, et sa socialisation par la mise en place et la surveillance d’actions de soins, d’éveil, et de soutien en direction de ses parents.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Il/elle assure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 des missions de protection de l’enfance et de promotion de la santé en étroite collaboration avec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la direction et 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 le médecin en charge du suivi médical préventif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8755A4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A1BEA" w:rsidRDefault="00BA1BEA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6D7DCB" w:rsidRDefault="006D7DCB" w:rsidP="006D7DC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1.en tant que</w:t>
            </w:r>
            <w:r w:rsidRPr="0061161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collaborateur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s’</w:t>
            </w: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assure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r de </w:t>
            </w: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l’accueil des enfants et leur bien-être physique et psychique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afin de 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>contribuer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au développement de l’enfant.</w:t>
            </w:r>
          </w:p>
          <w:p w:rsidR="006D7DCB" w:rsidRPr="00DB4D4E" w:rsidRDefault="006D7DCB" w:rsidP="006D7DC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6D7DCB" w:rsidRPr="00DB4D4E" w:rsidRDefault="006D7DCB" w:rsidP="006D7DC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Constituer le dossier médical suite au contact avec les parents,</w:t>
            </w:r>
          </w:p>
          <w:p w:rsidR="006D7DCB" w:rsidRPr="00DB4D4E" w:rsidRDefault="006D7DCB" w:rsidP="006D7DC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Organiser les consultations et le suivi médical des enfants en collaboration avec le médecin et selon le choix des parents (bilans de santé, guide de médecine préventive) (sauf en MCAE)</w:t>
            </w:r>
          </w:p>
          <w:p w:rsidR="006D7DCB" w:rsidRPr="00DB4D4E" w:rsidRDefault="006D7DCB" w:rsidP="006D7DC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Participer aux dépistages proposés par l’ONE</w:t>
            </w:r>
          </w:p>
          <w:p w:rsidR="006D7DCB" w:rsidRPr="00DB4D4E" w:rsidRDefault="006D7DCB" w:rsidP="006D7DC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Veiller au suivi des vaccinations</w:t>
            </w:r>
          </w:p>
          <w:p w:rsidR="006D7DCB" w:rsidRPr="00DB4D4E" w:rsidRDefault="006D7DCB" w:rsidP="006D7DC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Compléter le carnet de l’enfant</w:t>
            </w:r>
          </w:p>
          <w:p w:rsidR="006D7DCB" w:rsidRPr="00DB4D4E" w:rsidRDefault="006D7DCB" w:rsidP="006D7DC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Organiser, en collaboration avec la responsable et le médecin, l’accueil et le suivi d’un enfant qui nécessite une attention particulière</w:t>
            </w:r>
          </w:p>
          <w:p w:rsidR="006D7DCB" w:rsidRPr="00DB4D4E" w:rsidRDefault="006D7DCB" w:rsidP="006D7DC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Assurer le relais d’informations entre les parents et le médecin</w:t>
            </w:r>
          </w:p>
          <w:p w:rsidR="00A30112" w:rsidRDefault="006D7DCB" w:rsidP="006D7DC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Exercer un rôle de soutien à la parentalité, plus spécialement en matière de promotion à la santé.</w:t>
            </w:r>
          </w:p>
          <w:p w:rsidR="00016CD9" w:rsidRDefault="00016CD9" w:rsidP="006D7DC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016CD9" w:rsidRDefault="00016CD9" w:rsidP="00016CD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2.En tant que </w:t>
            </w:r>
            <w:r w:rsidRPr="0061161F">
              <w:rPr>
                <w:rFonts w:ascii="Arial" w:hAnsi="Arial" w:cs="Arial"/>
                <w:b/>
                <w:sz w:val="22"/>
                <w:szCs w:val="22"/>
                <w:lang w:val="fr-BE"/>
              </w:rPr>
              <w:t>gestionnaire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aider la directrice dans ses fonctions afin de </w:t>
            </w:r>
            <w:r w:rsidRPr="00926B6A">
              <w:rPr>
                <w:rFonts w:ascii="Arial" w:hAnsi="Arial" w:cs="Arial"/>
                <w:sz w:val="22"/>
                <w:szCs w:val="22"/>
                <w:lang w:val="fr-BE"/>
              </w:rPr>
              <w:t>créer un environnement accueillant centré sur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la qualité de vie des citoyens et de </w:t>
            </w:r>
            <w:r w:rsidRPr="00926B6A">
              <w:rPr>
                <w:rFonts w:ascii="Arial" w:hAnsi="Arial" w:cs="Arial"/>
                <w:sz w:val="22"/>
                <w:szCs w:val="22"/>
                <w:lang w:val="fr-BE"/>
              </w:rPr>
              <w:t>garantir un cadre de vie sécurisant où il fait bon vivre, et proposer des infrastructures et des activités éducatives.</w:t>
            </w:r>
          </w:p>
          <w:p w:rsidR="00016CD9" w:rsidRPr="00DB4D4E" w:rsidRDefault="00016CD9" w:rsidP="00016CD9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Vérifier que la surveillance médicale du personnel et des stagiaires soit assurée,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Informer le médecin de tous problèmes de santé relatifs aux enfants, au personnel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S’assurer du respect des règles d’éviction,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Gérer la pharmacie et veiller au bon fonctionnement des appareils nécessaires à la consultation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 xml:space="preserve">Participer à l’élaboration des menus </w:t>
            </w:r>
            <w:r w:rsidR="00D364D1">
              <w:rPr>
                <w:rFonts w:ascii="Arial" w:hAnsi="Arial" w:cs="Arial"/>
                <w:sz w:val="22"/>
                <w:szCs w:val="22"/>
                <w:lang w:val="fr-BE"/>
              </w:rPr>
              <w:t>des goûters</w:t>
            </w:r>
            <w:r w:rsidR="00D364D1" w:rsidRPr="00DB4D4E">
              <w:rPr>
                <w:rFonts w:ascii="Arial" w:hAnsi="Arial" w:cs="Arial"/>
                <w:sz w:val="22"/>
                <w:szCs w:val="22"/>
                <w:lang w:val="fr-BE"/>
              </w:rPr>
              <w:t xml:space="preserve"> ;</w:t>
            </w: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 xml:space="preserve"> assurer le contrôle de la mise en conformité en fonction des normes de l’AFSCA (circuit des aliments, préparation, conservation). Veiller au respect des régimes spécifiques conformément aux recommandations ONE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Promouvoir et vérifier le respect des mesures d’hygiène et de sécurité dans le champ de ses compétences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 xml:space="preserve">Participer à la récolte des données épidémiologiques (BDMS, cadastre des événements médicaux graves, dépistages </w:t>
            </w:r>
            <w:proofErr w:type="gramStart"/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divers,…</w:t>
            </w:r>
            <w:proofErr w:type="gramEnd"/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Informer les accueillantes des notions diverses relatives à la santé et l’hygiène,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Collaborer avec l’équipe dans le respect des règles de déontologie,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Participer aux formations continuées</w:t>
            </w:r>
          </w:p>
          <w:p w:rsidR="00016CD9" w:rsidRPr="00DB4D4E" w:rsidRDefault="00016CD9" w:rsidP="00016CD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Collaborer à l’élaboration du projet d’accueil.</w:t>
            </w:r>
          </w:p>
          <w:p w:rsidR="00A30112" w:rsidRDefault="00016CD9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Travailler en collaboration avec l’assistante sociale lors de situations particulières</w:t>
            </w: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111BE" w:rsidRDefault="002111BE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Pr="00E852A0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 xml:space="preserve">Profil de Compétences </w:t>
            </w:r>
          </w:p>
        </w:tc>
      </w:tr>
      <w:tr w:rsidR="00DB14C7" w:rsidRPr="008755A4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  <w:proofErr w:type="gramEnd"/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proofErr w:type="spellStart"/>
            <w:r w:rsidR="009A754E">
              <w:rPr>
                <w:rFonts w:ascii="Calibri" w:hAnsi="Calibri" w:cs="Calibri"/>
                <w:color w:val="000000"/>
                <w:sz w:val="22"/>
                <w:szCs w:val="22"/>
              </w:rPr>
              <w:t>Agents</w:t>
            </w:r>
            <w:proofErr w:type="spellEnd"/>
            <w:r w:rsidR="009A75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 </w:t>
            </w:r>
            <w:proofErr w:type="spellStart"/>
            <w:r w:rsidR="009A754E">
              <w:rPr>
                <w:rFonts w:ascii="Calibri" w:hAnsi="Calibri" w:cs="Calibri"/>
                <w:color w:val="000000"/>
                <w:sz w:val="22"/>
                <w:szCs w:val="22"/>
              </w:rPr>
              <w:t>secteur</w:t>
            </w:r>
            <w:proofErr w:type="spellEnd"/>
            <w:r w:rsidR="009A75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public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9A754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AC34BD">
              <w:rPr>
                <w:rFonts w:ascii="Arial" w:hAnsi="Arial" w:cs="Arial"/>
                <w:sz w:val="22"/>
                <w:szCs w:val="22"/>
                <w:lang w:val="fr-BE"/>
              </w:rPr>
              <w:t xml:space="preserve"> Réglementation </w:t>
            </w:r>
            <w:r w:rsidR="009A754E">
              <w:rPr>
                <w:rFonts w:ascii="Arial" w:hAnsi="Arial" w:cs="Arial"/>
                <w:sz w:val="22"/>
                <w:szCs w:val="22"/>
                <w:lang w:val="fr-BE"/>
              </w:rPr>
              <w:t>AFSCA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9A754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AC34BD">
              <w:rPr>
                <w:rFonts w:ascii="Arial" w:hAnsi="Arial" w:cs="Arial"/>
                <w:sz w:val="22"/>
                <w:szCs w:val="22"/>
                <w:lang w:val="fr-BE"/>
              </w:rPr>
              <w:t>A</w:t>
            </w:r>
            <w:r w:rsidR="009A754E">
              <w:rPr>
                <w:rFonts w:ascii="Arial" w:hAnsi="Arial" w:cs="Arial"/>
                <w:sz w:val="22"/>
                <w:szCs w:val="22"/>
                <w:lang w:val="fr-BE"/>
              </w:rPr>
              <w:t>spect relatif à la santé (sécurité des jouets, code de qualité, hygiène etc…)</w:t>
            </w:r>
          </w:p>
          <w:p w:rsidR="00AC34BD" w:rsidRDefault="00AC34B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Législation relative aux vaccinations obligatoires</w:t>
            </w:r>
          </w:p>
          <w:p w:rsidR="009A754E" w:rsidRDefault="009A754E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Réglementation ONE</w:t>
            </w:r>
            <w:r w:rsidR="00AC34B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AC34BD" w:rsidRDefault="00AC34B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Normes ONE</w:t>
            </w:r>
          </w:p>
          <w:p w:rsidR="00AC34BD" w:rsidRDefault="00AC34BD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Législation petite enfance ONE</w:t>
            </w:r>
          </w:p>
          <w:p w:rsidR="009A754E" w:rsidRDefault="009A754E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AC34BD">
              <w:rPr>
                <w:rFonts w:ascii="Arial" w:hAnsi="Arial" w:cs="Arial"/>
                <w:sz w:val="22"/>
                <w:szCs w:val="22"/>
                <w:lang w:val="fr-BE"/>
              </w:rPr>
              <w:t>Bien-être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au travail</w:t>
            </w:r>
          </w:p>
          <w:p w:rsidR="009A754E" w:rsidRPr="008755A4" w:rsidRDefault="00AC34BD" w:rsidP="00AE2F0B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Secret professionnel</w:t>
            </w:r>
          </w:p>
          <w:p w:rsidR="00674798" w:rsidRDefault="00674798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protection des données personnelles </w:t>
            </w:r>
          </w:p>
          <w:p w:rsidR="009A754E" w:rsidRPr="00E93746" w:rsidRDefault="009A754E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AC34BD" w:rsidRPr="008755A4" w:rsidRDefault="00E93746" w:rsidP="00AC34BD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AC34B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AC34BD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Classement d'archives</w:t>
            </w:r>
            <w:r w:rsidR="00674798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(les dossiers médicaux des enfants sortants, etc.)</w:t>
            </w:r>
          </w:p>
          <w:p w:rsidR="00AC34BD" w:rsidRPr="008755A4" w:rsidRDefault="00AC34BD" w:rsidP="00AC34BD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Consignes de sécurité </w:t>
            </w:r>
            <w:r w:rsidR="00D3067D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(incendie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, utilisation des produits </w:t>
            </w:r>
            <w:r w:rsidR="00D3067D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d’hygiène,</w:t>
            </w:r>
            <w:r w:rsidR="00674798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etc.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)</w:t>
            </w:r>
          </w:p>
          <w:p w:rsidR="00AC34BD" w:rsidRPr="008755A4" w:rsidRDefault="00AC34BD" w:rsidP="00AC34BD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Etablissement de bons de commande </w:t>
            </w:r>
            <w:r w:rsidR="00D3067D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(vaccins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, </w:t>
            </w:r>
            <w:r w:rsidR="00D3067D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pharmacie, etc.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)</w:t>
            </w:r>
          </w:p>
          <w:p w:rsidR="00AC34BD" w:rsidRPr="008755A4" w:rsidRDefault="00AC34BD" w:rsidP="00AC34BD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Gestion du courrier</w:t>
            </w:r>
            <w:r w:rsidR="00674798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 w:rsidR="00674798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 courrier</w:t>
            </w:r>
            <w:proofErr w:type="gramEnd"/>
            <w:r w:rsidR="00674798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interne, mails etc..) </w:t>
            </w:r>
          </w:p>
          <w:p w:rsidR="00674798" w:rsidRPr="008755A4" w:rsidRDefault="00674798" w:rsidP="00674798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Procédures internes de travail </w:t>
            </w:r>
          </w:p>
          <w:p w:rsidR="00674798" w:rsidRPr="008755A4" w:rsidRDefault="00674798" w:rsidP="00674798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Projet pédagogique</w:t>
            </w:r>
          </w:p>
          <w:p w:rsidR="00674798" w:rsidRPr="008755A4" w:rsidRDefault="00674798" w:rsidP="00AE2F0B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 Code de déontologie</w:t>
            </w:r>
          </w:p>
          <w:p w:rsidR="008664FC" w:rsidRPr="008755A4" w:rsidRDefault="008664FC" w:rsidP="00AE2F0B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avoir une connaissance du guide de médecine préventive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674798" w:rsidRPr="00914D53" w:rsidRDefault="00674798" w:rsidP="00674798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798">
              <w:rPr>
                <w:rFonts w:ascii="Calibri" w:hAnsi="Calibri" w:cs="Calibri"/>
                <w:color w:val="000000"/>
                <w:sz w:val="22"/>
                <w:szCs w:val="22"/>
              </w:rPr>
              <w:t>Actes</w:t>
            </w:r>
            <w:proofErr w:type="spellEnd"/>
            <w:r w:rsidRPr="006747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798">
              <w:rPr>
                <w:rFonts w:ascii="Calibri" w:hAnsi="Calibri" w:cs="Calibri"/>
                <w:color w:val="000000"/>
                <w:sz w:val="22"/>
                <w:szCs w:val="22"/>
              </w:rPr>
              <w:t>infirmiers</w:t>
            </w:r>
            <w:proofErr w:type="spellEnd"/>
          </w:p>
          <w:p w:rsidR="00914D53" w:rsidRPr="00914D53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>Soins</w:t>
            </w:r>
            <w:proofErr w:type="spellEnd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>infirmiers</w:t>
            </w:r>
            <w:proofErr w:type="spellEnd"/>
          </w:p>
          <w:p w:rsidR="00914D53" w:rsidRPr="00914D53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>Secourisme</w:t>
            </w:r>
            <w:proofErr w:type="spellEnd"/>
          </w:p>
          <w:p w:rsidR="00914D53" w:rsidRPr="00914D53" w:rsidRDefault="00914D53" w:rsidP="0013521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>Soins</w:t>
            </w:r>
            <w:proofErr w:type="spellEnd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santé</w:t>
            </w:r>
          </w:p>
          <w:p w:rsidR="00914D53" w:rsidRPr="009F172C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F17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Pédagogie de </w:t>
            </w:r>
            <w:proofErr w:type="spellStart"/>
            <w:r w:rsidRPr="009F172C">
              <w:rPr>
                <w:rFonts w:ascii="Calibri" w:hAnsi="Calibri" w:cs="Calibri"/>
                <w:color w:val="000000"/>
                <w:sz w:val="22"/>
                <w:szCs w:val="22"/>
              </w:rPr>
              <w:t>l'enfant</w:t>
            </w:r>
            <w:proofErr w:type="spellEnd"/>
          </w:p>
          <w:p w:rsidR="00914D53" w:rsidRPr="009F172C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F17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Psychologie de </w:t>
            </w:r>
            <w:proofErr w:type="spellStart"/>
            <w:r w:rsidRPr="009F172C">
              <w:rPr>
                <w:rFonts w:ascii="Calibri" w:hAnsi="Calibri" w:cs="Calibri"/>
                <w:color w:val="000000"/>
                <w:sz w:val="22"/>
                <w:szCs w:val="22"/>
              </w:rPr>
              <w:t>l’enfant</w:t>
            </w:r>
            <w:proofErr w:type="spellEnd"/>
          </w:p>
          <w:p w:rsidR="00914D53" w:rsidRPr="00914D53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BC2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Psychologie du </w:t>
            </w:r>
            <w:proofErr w:type="spellStart"/>
            <w:r w:rsidRPr="00BC264A">
              <w:rPr>
                <w:rFonts w:ascii="Calibri" w:hAnsi="Calibri" w:cs="Calibri"/>
                <w:color w:val="000000"/>
                <w:sz w:val="22"/>
                <w:szCs w:val="22"/>
              </w:rPr>
              <w:t>développement</w:t>
            </w:r>
            <w:proofErr w:type="spellEnd"/>
            <w:r w:rsidRPr="00BC2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C264A">
              <w:rPr>
                <w:rFonts w:ascii="Calibri" w:hAnsi="Calibri" w:cs="Calibri"/>
                <w:color w:val="000000"/>
                <w:sz w:val="22"/>
                <w:szCs w:val="22"/>
              </w:rPr>
              <w:t>l’enfant</w:t>
            </w:r>
            <w:proofErr w:type="spellEnd"/>
          </w:p>
          <w:p w:rsidR="00674798" w:rsidRPr="00674798" w:rsidRDefault="00674798" w:rsidP="00674798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proofErr w:type="spellStart"/>
            <w:r w:rsidRPr="00674798">
              <w:rPr>
                <w:rFonts w:ascii="Calibri" w:hAnsi="Calibri" w:cs="Calibri"/>
                <w:color w:val="000000"/>
                <w:sz w:val="22"/>
                <w:szCs w:val="22"/>
              </w:rPr>
              <w:t>Connaissance</w:t>
            </w:r>
            <w:proofErr w:type="spellEnd"/>
            <w:r w:rsidRPr="006747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 </w:t>
            </w:r>
            <w:proofErr w:type="spellStart"/>
            <w:r w:rsidRPr="00674798">
              <w:rPr>
                <w:rFonts w:ascii="Calibri" w:hAnsi="Calibri" w:cs="Calibri"/>
                <w:color w:val="000000"/>
                <w:sz w:val="22"/>
                <w:szCs w:val="22"/>
              </w:rPr>
              <w:t>développement</w:t>
            </w:r>
            <w:proofErr w:type="spellEnd"/>
            <w:r w:rsidRPr="006747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l’enfant</w:t>
            </w:r>
            <w:proofErr w:type="spellEnd"/>
          </w:p>
          <w:p w:rsidR="00150417" w:rsidRPr="00150417" w:rsidRDefault="00150417" w:rsidP="00150417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Dispositions relatives à la santé dans les milieux d’accueil de la petite enfance</w:t>
            </w:r>
          </w:p>
          <w:p w:rsidR="00907700" w:rsidRPr="00907700" w:rsidRDefault="00907700" w:rsidP="00907700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07700">
              <w:rPr>
                <w:rFonts w:ascii="Calibri" w:hAnsi="Calibri" w:cs="Calibri"/>
                <w:color w:val="000000"/>
                <w:sz w:val="22"/>
                <w:szCs w:val="22"/>
              </w:rPr>
              <w:t>Gestion</w:t>
            </w:r>
            <w:proofErr w:type="spellEnd"/>
            <w:r w:rsidRPr="00907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907700">
              <w:rPr>
                <w:rFonts w:ascii="Calibri" w:hAnsi="Calibri" w:cs="Calibri"/>
                <w:color w:val="000000"/>
                <w:sz w:val="22"/>
                <w:szCs w:val="22"/>
              </w:rPr>
              <w:t>conflits</w:t>
            </w:r>
            <w:proofErr w:type="spellEnd"/>
          </w:p>
          <w:p w:rsidR="00674798" w:rsidRDefault="00907700" w:rsidP="00674798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  <w:t xml:space="preserve">Gestion des stocks </w:t>
            </w:r>
            <w:r w:rsidR="00914D53"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  <w:t>(produits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  <w:t xml:space="preserve"> d’hygiène, produits pharmaceutiques)</w:t>
            </w:r>
          </w:p>
          <w:p w:rsidR="00914D53" w:rsidRPr="00914D53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Stockage, conservation et conditionnement des aliments</w:t>
            </w:r>
          </w:p>
          <w:p w:rsidR="00914D53" w:rsidRPr="00914D53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>Traçabilité</w:t>
            </w:r>
            <w:proofErr w:type="spellEnd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>denrées</w:t>
            </w:r>
            <w:proofErr w:type="spellEnd"/>
          </w:p>
          <w:p w:rsidR="00914D53" w:rsidRPr="00914D53" w:rsidRDefault="00914D53" w:rsidP="00914D5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Traitement des </w:t>
            </w:r>
            <w:proofErr w:type="spellStart"/>
            <w:r w:rsidRPr="00914D53">
              <w:rPr>
                <w:rFonts w:ascii="Calibri" w:hAnsi="Calibri" w:cs="Calibri"/>
                <w:color w:val="000000"/>
                <w:sz w:val="22"/>
                <w:szCs w:val="22"/>
              </w:rPr>
              <w:t>données</w:t>
            </w:r>
            <w:proofErr w:type="spellEnd"/>
          </w:p>
          <w:p w:rsidR="000C5515" w:rsidRPr="000C5515" w:rsidRDefault="000C5515" w:rsidP="000C551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Vaccination </w:t>
            </w:r>
            <w:proofErr w:type="gramStart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 accompagnement</w:t>
            </w:r>
            <w:proofErr w:type="gramEnd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du médecin lors des consultations)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0C5515" w:rsidRPr="000C5515" w:rsidRDefault="00E93746" w:rsidP="000C551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0C551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9363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C5515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Connaissance des organismes sociaux s’occupant des enfants et de leur famille </w:t>
            </w:r>
            <w:proofErr w:type="gramStart"/>
            <w:r w:rsidR="000C5515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 en</w:t>
            </w:r>
            <w:proofErr w:type="gramEnd"/>
            <w:r w:rsidR="000C5515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concertation avec l’assistante sociale)</w:t>
            </w:r>
          </w:p>
          <w:p w:rsidR="00393636" w:rsidRPr="008755A4" w:rsidRDefault="00393636" w:rsidP="00393636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Connaissance du contexte communal</w:t>
            </w:r>
          </w:p>
          <w:p w:rsidR="009A108B" w:rsidRPr="009A108B" w:rsidRDefault="009A108B" w:rsidP="00393636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Fonctionnement d'une administration communale </w:t>
            </w:r>
          </w:p>
          <w:p w:rsidR="009A108B" w:rsidRPr="008755A4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Connaissances des services communaux et de leurs missions</w:t>
            </w:r>
          </w:p>
          <w:p w:rsidR="009A108B" w:rsidRPr="008755A4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Fonctionnement d'un milieu d'accueil</w:t>
            </w:r>
          </w:p>
          <w:p w:rsidR="009A108B" w:rsidRPr="009A108B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connaissance de l’ONE </w:t>
            </w:r>
          </w:p>
          <w:p w:rsidR="009A108B" w:rsidRPr="009A108B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</w:p>
          <w:p w:rsidR="00E93746" w:rsidRPr="008755A4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8755A4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Applications </w:t>
            </w:r>
            <w:proofErr w:type="spellStart"/>
            <w:r w:rsidRPr="008755A4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bureautiques</w:t>
            </w:r>
            <w:proofErr w:type="spellEnd"/>
          </w:p>
          <w:p w:rsidR="009A108B" w:rsidRDefault="00E93746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A108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9A108B" w:rsidRPr="009A10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A108B" w:rsidRPr="008755A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 Excel</w:t>
            </w:r>
          </w:p>
          <w:p w:rsidR="009A108B" w:rsidRPr="008755A4" w:rsidRDefault="00E93746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A108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9A108B" w:rsidRPr="009A10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A108B" w:rsidRPr="008755A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 Word</w:t>
            </w:r>
          </w:p>
          <w:p w:rsidR="009A108B" w:rsidRPr="008755A4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 MS Outlook</w:t>
            </w:r>
          </w:p>
          <w:p w:rsidR="009A108B" w:rsidRPr="008755A4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fr-FR" w:eastAsia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</w:t>
            </w:r>
          </w:p>
          <w:p w:rsidR="009A108B" w:rsidRPr="008755A4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Outils bureautiques</w:t>
            </w:r>
          </w:p>
          <w:p w:rsidR="009A108B" w:rsidRPr="009A108B" w:rsidRDefault="009A108B" w:rsidP="009A108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internet / Email</w:t>
            </w:r>
          </w:p>
          <w:p w:rsidR="00E93746" w:rsidRPr="009A108B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Matériel-outil-outillage</w:t>
            </w:r>
          </w:p>
          <w:p w:rsidR="00F87EF6" w:rsidRPr="00F87EF6" w:rsidRDefault="00F87EF6" w:rsidP="00F87EF6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Jeux et jouets</w:t>
            </w:r>
          </w:p>
          <w:p w:rsidR="00F87EF6" w:rsidRPr="00F87EF6" w:rsidRDefault="00F87EF6" w:rsidP="00F87EF6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Matériel de bureau (scanner, photocopieuse, agrafeuse etc.)</w:t>
            </w:r>
          </w:p>
          <w:p w:rsidR="000056B3" w:rsidRPr="000056B3" w:rsidRDefault="000056B3" w:rsidP="000056B3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Matériel de premier secours</w:t>
            </w:r>
          </w:p>
          <w:p w:rsidR="000056B3" w:rsidRPr="000056B3" w:rsidRDefault="000056B3" w:rsidP="000056B3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Matériel et équipement (médical et pédagogique) liés au domaine d’activité </w:t>
            </w:r>
          </w:p>
          <w:p w:rsidR="000056B3" w:rsidRPr="000056B3" w:rsidRDefault="000056B3" w:rsidP="000056B3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Produits d'entretien </w:t>
            </w:r>
            <w:proofErr w:type="gramStart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 établir</w:t>
            </w:r>
            <w:proofErr w:type="gramEnd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fiche technique d’utilisation pour le personnel d’entretien)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6C5E03" w:rsidRPr="006C5E03" w:rsidRDefault="00E93746" w:rsidP="006C5E03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en-US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6C5E03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6C5E03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Communication interne et externe</w:t>
            </w:r>
          </w:p>
          <w:p w:rsidR="006C5E03" w:rsidRPr="008755A4" w:rsidRDefault="006C5E03" w:rsidP="006C5E03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Exprimer un message difficile</w:t>
            </w:r>
          </w:p>
          <w:p w:rsidR="006C5E03" w:rsidRPr="008755A4" w:rsidRDefault="006C5E03" w:rsidP="006C5E03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Rédaction de courriers/courriels</w:t>
            </w:r>
          </w:p>
          <w:p w:rsidR="006C5E03" w:rsidRPr="008755A4" w:rsidRDefault="006C5E03" w:rsidP="006C5E03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Rédaction de procédures</w:t>
            </w:r>
          </w:p>
          <w:p w:rsidR="006C5E03" w:rsidRPr="008755A4" w:rsidRDefault="006C5E03" w:rsidP="006C5E03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Rédaction de procès-verbaux et de </w:t>
            </w:r>
            <w:proofErr w:type="spellStart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comptes-rendus</w:t>
            </w:r>
            <w:proofErr w:type="spellEnd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 lors</w:t>
            </w:r>
            <w:proofErr w:type="gramEnd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des réunions </w:t>
            </w:r>
            <w:proofErr w:type="spellStart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medico-sociales</w:t>
            </w:r>
            <w:proofErr w:type="spellEnd"/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)</w:t>
            </w:r>
          </w:p>
          <w:p w:rsidR="006C5E03" w:rsidRPr="008755A4" w:rsidRDefault="006C5E03" w:rsidP="006C5E03">
            <w:pP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- Rédaction d'e-mail</w:t>
            </w:r>
          </w:p>
          <w:p w:rsidR="00E93746" w:rsidRPr="00E93746" w:rsidRDefault="006C5E03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- Rédiger des avis </w:t>
            </w:r>
            <w:r w:rsidR="008664FC"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(promotion</w:t>
            </w:r>
            <w:r w:rsidRPr="008755A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, éducation à la santé)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Tr="00393636">
        <w:trPr>
          <w:trHeight w:val="1513"/>
        </w:trPr>
        <w:tc>
          <w:tcPr>
            <w:tcW w:w="9214" w:type="dxa"/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B.Comportemental</w:t>
            </w:r>
            <w:proofErr w:type="spellEnd"/>
            <w:proofErr w:type="gramEnd"/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18071C" w:rsidRPr="0018071C" w:rsidRDefault="0018071C" w:rsidP="0018071C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18071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Avoir un esprit d’équipe</w:t>
            </w:r>
          </w:p>
          <w:p w:rsidR="0018071C" w:rsidRDefault="0018071C" w:rsidP="0018071C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18071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Etre organisé</w:t>
            </w:r>
          </w:p>
          <w:p w:rsidR="0018071C" w:rsidRDefault="0018071C" w:rsidP="0018071C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Etre résistant au stress</w:t>
            </w:r>
          </w:p>
          <w:p w:rsidR="0018071C" w:rsidRPr="0018071C" w:rsidRDefault="000E0CA3" w:rsidP="0018071C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Respecter les délais</w:t>
            </w:r>
          </w:p>
          <w:p w:rsidR="00A30112" w:rsidRPr="0018071C" w:rsidRDefault="00A30112" w:rsidP="00AE2F0B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A30112" w:rsidRPr="0018071C" w:rsidRDefault="00A30112" w:rsidP="00AE2F0B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A30112" w:rsidRPr="0018071C" w:rsidRDefault="00A30112" w:rsidP="00AE2F0B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A30112" w:rsidRPr="0018071C" w:rsidRDefault="00A30112" w:rsidP="00AE2F0B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393636" w:rsidTr="00AE2F0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393636" w:rsidRPr="00DB14C7" w:rsidRDefault="00393636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8755A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8755A4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8755A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F64CEB" w:rsidRPr="008755A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  <w:r w:rsidR="000E0CA3">
              <w:rPr>
                <w:rFonts w:ascii="Arial" w:hAnsi="Arial" w:cs="Arial"/>
                <w:sz w:val="22"/>
                <w:szCs w:val="22"/>
                <w:lang w:val="fr-BE"/>
              </w:rPr>
              <w:t xml:space="preserve"> néant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9A754E">
              <w:rPr>
                <w:rFonts w:ascii="Arial" w:hAnsi="Arial" w:cs="Arial"/>
                <w:strike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9A754E">
              <w:rPr>
                <w:rFonts w:ascii="Arial" w:hAnsi="Arial" w:cs="Arial"/>
                <w:strike/>
              </w:rPr>
              <w:instrText xml:space="preserve"> FORMCHECKBOX </w:instrText>
            </w:r>
            <w:r w:rsidR="008755A4">
              <w:rPr>
                <w:rFonts w:ascii="Arial" w:hAnsi="Arial" w:cs="Arial"/>
                <w:strike/>
              </w:rPr>
            </w:r>
            <w:r w:rsidR="008755A4">
              <w:rPr>
                <w:rFonts w:ascii="Arial" w:hAnsi="Arial" w:cs="Arial"/>
                <w:strike/>
              </w:rPr>
              <w:fldChar w:fldCharType="separate"/>
            </w:r>
            <w:r w:rsidRPr="009A754E">
              <w:rPr>
                <w:rFonts w:ascii="Arial" w:hAnsi="Arial" w:cs="Arial"/>
                <w:strike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proofErr w:type="gramStart"/>
            <w:r w:rsidR="00AF3549" w:rsidRPr="002058A1">
              <w:rPr>
                <w:rFonts w:ascii="Arial" w:hAnsi="Arial" w:cs="Arial"/>
              </w:rPr>
              <w:t>la</w:t>
            </w:r>
            <w:proofErr w:type="gramEnd"/>
            <w:r w:rsidR="00AF3549" w:rsidRPr="002058A1">
              <w:rPr>
                <w:rFonts w:ascii="Arial" w:hAnsi="Arial" w:cs="Arial"/>
              </w:rPr>
              <w:t xml:space="preserve">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8755A4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Pr="005C7D7F" w:rsidRDefault="000E0CA3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en possession d’un graduat/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Bachelor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en soins infirmiers</w:t>
            </w:r>
          </w:p>
        </w:tc>
      </w:tr>
    </w:tbl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8755A4" w:rsidRDefault="008755A4" w:rsidP="00A30112">
      <w:pPr>
        <w:rPr>
          <w:lang w:val="fr-FR"/>
        </w:rPr>
      </w:pPr>
    </w:p>
    <w:p w:rsidR="008755A4" w:rsidRDefault="008755A4" w:rsidP="00A30112">
      <w:pPr>
        <w:rPr>
          <w:lang w:val="fr-FR"/>
        </w:rPr>
      </w:pPr>
    </w:p>
    <w:p w:rsidR="008755A4" w:rsidRDefault="008755A4" w:rsidP="00A30112">
      <w:pPr>
        <w:rPr>
          <w:lang w:val="fr-FR"/>
        </w:rPr>
      </w:pP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Données pratiques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Envoyer un CV accompagné d’une lettre de motivation signée + copie diplôme requis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rFonts w:ascii="Verdana" w:hAnsi="Verdana"/>
          <w:sz w:val="23"/>
          <w:szCs w:val="23"/>
          <w:lang w:val="fr-FR"/>
        </w:rPr>
        <w:t xml:space="preserve">• </w:t>
      </w:r>
      <w:r>
        <w:rPr>
          <w:sz w:val="20"/>
          <w:szCs w:val="20"/>
          <w:lang w:val="fr-FR"/>
        </w:rPr>
        <w:t xml:space="preserve">par courrier à: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Administration Communale de Molenbeek-Saint-Jean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Service GRH - Référence</w:t>
      </w:r>
      <w:proofErr w:type="gramStart"/>
      <w:r>
        <w:rPr>
          <w:sz w:val="20"/>
          <w:szCs w:val="20"/>
          <w:lang w:val="fr-FR"/>
        </w:rPr>
        <w:t xml:space="preserve"> «</w:t>
      </w:r>
      <w:r>
        <w:rPr>
          <w:sz w:val="20"/>
          <w:szCs w:val="20"/>
          <w:lang w:val="fr-FR"/>
        </w:rPr>
        <w:t>Infirmière</w:t>
      </w:r>
      <w:proofErr w:type="gramEnd"/>
      <w:r>
        <w:rPr>
          <w:sz w:val="20"/>
          <w:szCs w:val="20"/>
          <w:lang w:val="fr-FR"/>
        </w:rPr>
        <w:t xml:space="preserve"> crèches</w:t>
      </w:r>
      <w:r>
        <w:rPr>
          <w:sz w:val="20"/>
          <w:szCs w:val="20"/>
          <w:lang w:val="fr-FR"/>
        </w:rPr>
        <w:t xml:space="preserve">»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Rue du Comte de Flandre, 20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1080 Bruxelles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• </w:t>
      </w:r>
      <w:r>
        <w:rPr>
          <w:sz w:val="20"/>
          <w:szCs w:val="20"/>
          <w:lang w:val="fr-FR"/>
        </w:rPr>
        <w:t xml:space="preserve">par e-mail à: </w:t>
      </w:r>
    </w:p>
    <w:p w:rsidR="008755A4" w:rsidRDefault="008755A4" w:rsidP="008755A4">
      <w:pPr>
        <w:pStyle w:val="Default"/>
        <w:rPr>
          <w:sz w:val="20"/>
          <w:szCs w:val="20"/>
          <w:lang w:val="fr-FR"/>
        </w:rPr>
      </w:pPr>
      <w:hyperlink r:id="rId9" w:history="1">
        <w:r>
          <w:rPr>
            <w:rStyle w:val="Hyperlink"/>
            <w:sz w:val="20"/>
            <w:szCs w:val="20"/>
            <w:lang w:val="fr-FR"/>
          </w:rPr>
          <w:t>candidature@molenbeek.irisnet.be</w:t>
        </w:r>
      </w:hyperlink>
      <w:r>
        <w:rPr>
          <w:sz w:val="20"/>
          <w:szCs w:val="20"/>
          <w:lang w:val="fr-FR"/>
        </w:rPr>
        <w:t xml:space="preserve"> </w:t>
      </w:r>
    </w:p>
    <w:p w:rsidR="008755A4" w:rsidRDefault="008755A4" w:rsidP="008755A4">
      <w:pPr>
        <w:rPr>
          <w:i/>
          <w:iCs/>
          <w:sz w:val="23"/>
          <w:szCs w:val="23"/>
          <w:lang w:val="fr-FR"/>
        </w:rPr>
      </w:pPr>
    </w:p>
    <w:p w:rsidR="008755A4" w:rsidRDefault="008755A4" w:rsidP="008755A4">
      <w:pPr>
        <w:rPr>
          <w:i/>
          <w:iCs/>
          <w:sz w:val="23"/>
          <w:szCs w:val="23"/>
          <w:lang w:val="fr-FR"/>
        </w:rPr>
      </w:pPr>
    </w:p>
    <w:p w:rsidR="008755A4" w:rsidRDefault="008755A4" w:rsidP="008755A4">
      <w:pPr>
        <w:rPr>
          <w:color w:val="1F497D"/>
          <w:sz w:val="24"/>
          <w:szCs w:val="24"/>
          <w:lang w:val="fr-FR"/>
        </w:rPr>
      </w:pPr>
      <w:r>
        <w:rPr>
          <w:i/>
          <w:iCs/>
          <w:sz w:val="23"/>
          <w:szCs w:val="23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8755A4" w:rsidRDefault="008755A4" w:rsidP="008755A4">
      <w:pPr>
        <w:rPr>
          <w:color w:val="1F497D"/>
          <w:lang w:val="fr-FR"/>
        </w:rPr>
      </w:pPr>
    </w:p>
    <w:p w:rsidR="008755A4" w:rsidRDefault="008755A4" w:rsidP="008755A4">
      <w:pPr>
        <w:rPr>
          <w:lang w:val="fr-FR"/>
        </w:rPr>
      </w:pPr>
    </w:p>
    <w:p w:rsidR="008755A4" w:rsidRPr="00736DD5" w:rsidRDefault="008755A4" w:rsidP="00A30112">
      <w:pPr>
        <w:rPr>
          <w:lang w:val="fr-FR"/>
        </w:rPr>
      </w:pPr>
    </w:p>
    <w:sectPr w:rsidR="008755A4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F3" w:rsidRDefault="003543F3">
      <w:r>
        <w:separator/>
      </w:r>
    </w:p>
  </w:endnote>
  <w:endnote w:type="continuationSeparator" w:id="0">
    <w:p w:rsidR="003543F3" w:rsidRDefault="0035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8755A4">
      <w:rPr>
        <w:rStyle w:val="Paginanummer"/>
        <w:noProof/>
        <w:lang w:val="fr-BE"/>
      </w:rPr>
      <w:t>5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8755A4">
      <w:rPr>
        <w:rStyle w:val="Paginanummer"/>
        <w:noProof/>
      </w:rPr>
      <w:t>5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F3" w:rsidRDefault="003543F3">
      <w:r>
        <w:separator/>
      </w:r>
    </w:p>
  </w:footnote>
  <w:footnote w:type="continuationSeparator" w:id="0">
    <w:p w:rsidR="003543F3" w:rsidRDefault="0035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5222E"/>
    <w:multiLevelType w:val="hybridMultilevel"/>
    <w:tmpl w:val="D62E3C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62EDB"/>
    <w:multiLevelType w:val="hybridMultilevel"/>
    <w:tmpl w:val="954874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A2C"/>
    <w:multiLevelType w:val="hybridMultilevel"/>
    <w:tmpl w:val="A00C60B8"/>
    <w:lvl w:ilvl="0" w:tplc="A34ABB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0152F"/>
    <w:multiLevelType w:val="hybridMultilevel"/>
    <w:tmpl w:val="0CF42C5E"/>
    <w:lvl w:ilvl="0" w:tplc="808035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A0843"/>
    <w:multiLevelType w:val="hybridMultilevel"/>
    <w:tmpl w:val="DDDCBE5A"/>
    <w:lvl w:ilvl="0" w:tplc="E6A61C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6766"/>
    <w:multiLevelType w:val="hybridMultilevel"/>
    <w:tmpl w:val="34F0613C"/>
    <w:lvl w:ilvl="0" w:tplc="5ED47E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8"/>
  </w:num>
  <w:num w:numId="5">
    <w:abstractNumId w:val="19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24"/>
  </w:num>
  <w:num w:numId="11">
    <w:abstractNumId w:val="12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26"/>
  </w:num>
  <w:num w:numId="18">
    <w:abstractNumId w:val="1"/>
  </w:num>
  <w:num w:numId="19">
    <w:abstractNumId w:val="15"/>
  </w:num>
  <w:num w:numId="20">
    <w:abstractNumId w:val="21"/>
  </w:num>
  <w:num w:numId="21">
    <w:abstractNumId w:val="22"/>
  </w:num>
  <w:num w:numId="22">
    <w:abstractNumId w:val="5"/>
  </w:num>
  <w:num w:numId="23">
    <w:abstractNumId w:val="2"/>
  </w:num>
  <w:num w:numId="24">
    <w:abstractNumId w:val="23"/>
  </w:num>
  <w:num w:numId="25">
    <w:abstractNumId w:val="14"/>
  </w:num>
  <w:num w:numId="26">
    <w:abstractNumId w:val="6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708"/>
    <w:rsid w:val="000056B3"/>
    <w:rsid w:val="0000738F"/>
    <w:rsid w:val="00016CD9"/>
    <w:rsid w:val="00041301"/>
    <w:rsid w:val="000644DF"/>
    <w:rsid w:val="000716C0"/>
    <w:rsid w:val="000A5DD7"/>
    <w:rsid w:val="000B6704"/>
    <w:rsid w:val="000C5515"/>
    <w:rsid w:val="000D00DC"/>
    <w:rsid w:val="000E0CA3"/>
    <w:rsid w:val="000F31E4"/>
    <w:rsid w:val="00140B7D"/>
    <w:rsid w:val="00150417"/>
    <w:rsid w:val="00175127"/>
    <w:rsid w:val="00176070"/>
    <w:rsid w:val="0018071C"/>
    <w:rsid w:val="001B1167"/>
    <w:rsid w:val="001F1732"/>
    <w:rsid w:val="001F6498"/>
    <w:rsid w:val="001F6A92"/>
    <w:rsid w:val="002058A1"/>
    <w:rsid w:val="002111BE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162BA"/>
    <w:rsid w:val="00331D58"/>
    <w:rsid w:val="00337388"/>
    <w:rsid w:val="00341085"/>
    <w:rsid w:val="003543F3"/>
    <w:rsid w:val="003845D4"/>
    <w:rsid w:val="003865A3"/>
    <w:rsid w:val="00393636"/>
    <w:rsid w:val="003B73D3"/>
    <w:rsid w:val="003C5D0F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660DD"/>
    <w:rsid w:val="00674798"/>
    <w:rsid w:val="006A3BB8"/>
    <w:rsid w:val="006C2E88"/>
    <w:rsid w:val="006C5E03"/>
    <w:rsid w:val="006D7DCB"/>
    <w:rsid w:val="00714CE9"/>
    <w:rsid w:val="00715FF0"/>
    <w:rsid w:val="00735E9C"/>
    <w:rsid w:val="00736DD5"/>
    <w:rsid w:val="00767209"/>
    <w:rsid w:val="00794A98"/>
    <w:rsid w:val="007A6978"/>
    <w:rsid w:val="007D5BC2"/>
    <w:rsid w:val="007E58F5"/>
    <w:rsid w:val="00810C58"/>
    <w:rsid w:val="0085142D"/>
    <w:rsid w:val="00854DDE"/>
    <w:rsid w:val="00856C2E"/>
    <w:rsid w:val="00861BCA"/>
    <w:rsid w:val="00863E73"/>
    <w:rsid w:val="00865D00"/>
    <w:rsid w:val="008664FC"/>
    <w:rsid w:val="00872BEF"/>
    <w:rsid w:val="008755A4"/>
    <w:rsid w:val="008A677F"/>
    <w:rsid w:val="008C6120"/>
    <w:rsid w:val="008D13FD"/>
    <w:rsid w:val="008F5B15"/>
    <w:rsid w:val="00902AB5"/>
    <w:rsid w:val="00907700"/>
    <w:rsid w:val="00914D53"/>
    <w:rsid w:val="00917193"/>
    <w:rsid w:val="009178C2"/>
    <w:rsid w:val="0092312F"/>
    <w:rsid w:val="00925B58"/>
    <w:rsid w:val="0094640E"/>
    <w:rsid w:val="0094789F"/>
    <w:rsid w:val="00973242"/>
    <w:rsid w:val="009941A3"/>
    <w:rsid w:val="009A108B"/>
    <w:rsid w:val="009A754E"/>
    <w:rsid w:val="009C396D"/>
    <w:rsid w:val="009D4406"/>
    <w:rsid w:val="009F172C"/>
    <w:rsid w:val="00A30112"/>
    <w:rsid w:val="00A56B85"/>
    <w:rsid w:val="00A94CC0"/>
    <w:rsid w:val="00AC34BD"/>
    <w:rsid w:val="00AD043A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C264A"/>
    <w:rsid w:val="00BD38F2"/>
    <w:rsid w:val="00BE34BA"/>
    <w:rsid w:val="00BF109F"/>
    <w:rsid w:val="00BF7E0E"/>
    <w:rsid w:val="00C1438C"/>
    <w:rsid w:val="00C2543F"/>
    <w:rsid w:val="00CC3849"/>
    <w:rsid w:val="00CC3DA8"/>
    <w:rsid w:val="00CD6535"/>
    <w:rsid w:val="00CE69AF"/>
    <w:rsid w:val="00D07E7A"/>
    <w:rsid w:val="00D3067D"/>
    <w:rsid w:val="00D34FC8"/>
    <w:rsid w:val="00D364D1"/>
    <w:rsid w:val="00D365AD"/>
    <w:rsid w:val="00D51ABC"/>
    <w:rsid w:val="00D61A0D"/>
    <w:rsid w:val="00D76694"/>
    <w:rsid w:val="00D77C18"/>
    <w:rsid w:val="00DB14C7"/>
    <w:rsid w:val="00DC37EA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93746"/>
    <w:rsid w:val="00EC192D"/>
    <w:rsid w:val="00EC7B59"/>
    <w:rsid w:val="00EE6108"/>
    <w:rsid w:val="00F1415A"/>
    <w:rsid w:val="00F32640"/>
    <w:rsid w:val="00F55470"/>
    <w:rsid w:val="00F60CEE"/>
    <w:rsid w:val="00F64CEB"/>
    <w:rsid w:val="00F7467A"/>
    <w:rsid w:val="00F87EF6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C44"/>
  <w15:docId w15:val="{B2DE86CD-B3AE-47F6-8981-9495A11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basedOn w:val="Standaard"/>
    <w:rsid w:val="008755A4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81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72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33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12A9-C67E-48B3-9C87-DB93BF10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5</Pages>
  <Words>1039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7362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2010-08-24T12:44:00Z</cp:lastPrinted>
  <dcterms:created xsi:type="dcterms:W3CDTF">2021-01-18T11:19:00Z</dcterms:created>
  <dcterms:modified xsi:type="dcterms:W3CDTF">2021-01-18T11:22:00Z</dcterms:modified>
</cp:coreProperties>
</file>