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433"/>
        <w:gridCol w:w="4726"/>
      </w:tblGrid>
      <w:tr w:rsidR="00B14113" w:rsidTr="00E72318">
        <w:trPr>
          <w:cantSplit/>
          <w:trHeight w:val="1970"/>
        </w:trPr>
        <w:tc>
          <w:tcPr>
            <w:tcW w:w="4225" w:type="dxa"/>
            <w:hideMark/>
          </w:tcPr>
          <w:p w:rsidR="00B14113" w:rsidRPr="00DB7FA5" w:rsidRDefault="00B14113" w:rsidP="00B14113">
            <w:pPr>
              <w:pStyle w:val="Kop2"/>
              <w:rPr>
                <w:sz w:val="28"/>
                <w:lang w:val="fr-BE"/>
              </w:rPr>
            </w:pPr>
            <w:r w:rsidRPr="00DB7FA5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33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2AB775AD" wp14:editId="5B2A2751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A12209">
        <w:trPr>
          <w:cantSplit/>
          <w:trHeight w:val="377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A12209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I</w:t>
            </w:r>
            <w:r w:rsidR="007D5BC2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dentification de la fonction</w:t>
            </w:r>
          </w:p>
        </w:tc>
      </w:tr>
      <w:tr w:rsidR="007D5BC2" w:rsidRPr="00A65F29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3E535B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A65F2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Ouvrier polyvalent - Handyman 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(</w:t>
            </w:r>
            <w:r w:rsidR="006515E5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H/F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)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A65F29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3E535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F607E9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ATELIERS COMMUNAUX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F607E9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AMENAGEMENT DU TERRITOIRE ET GESTION IMMOBILIERE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756DE4" w:rsidRPr="00B14113" w:rsidRDefault="00B14113" w:rsidP="009E447F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</w:p>
        </w:tc>
      </w:tr>
      <w:tr w:rsidR="007D5BC2" w:rsidRPr="00A65F29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756DE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E84FA8">
              <w:rPr>
                <w:rFonts w:ascii="Arial" w:hAnsi="Arial" w:cs="Arial"/>
                <w:sz w:val="22"/>
                <w:szCs w:val="22"/>
              </w:rPr>
            </w:r>
            <w:r w:rsidR="00E84F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3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374"/>
      </w:tblGrid>
      <w:tr w:rsidR="007D5BC2" w:rsidRPr="002058A1" w:rsidTr="00BF75B4">
        <w:trPr>
          <w:cantSplit/>
          <w:trHeight w:val="342"/>
          <w:tblHeader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Mission</w:t>
            </w:r>
            <w:r w:rsidR="008B1140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s</w:t>
            </w:r>
          </w:p>
        </w:tc>
      </w:tr>
      <w:tr w:rsidR="00F64CEB" w:rsidRPr="00E84FA8" w:rsidTr="003D477E">
        <w:trPr>
          <w:cantSplit/>
          <w:trHeight w:val="1151"/>
          <w:tblHeader/>
        </w:trPr>
        <w:tc>
          <w:tcPr>
            <w:tcW w:w="9374" w:type="dxa"/>
            <w:tcBorders>
              <w:top w:val="single" w:sz="4" w:space="0" w:color="auto"/>
            </w:tcBorders>
            <w:shd w:val="clear" w:color="auto" w:fill="E6E6E6"/>
          </w:tcPr>
          <w:p w:rsidR="00A12209" w:rsidRPr="00DB7FA5" w:rsidRDefault="00A12209" w:rsidP="00BF75B4">
            <w:pPr>
              <w:pStyle w:val="Plattetekst2"/>
              <w:jc w:val="both"/>
              <w:rPr>
                <w:rFonts w:cs="Arial"/>
                <w:snapToGrid w:val="0"/>
                <w:szCs w:val="22"/>
                <w:lang w:val="fr-FR" w:eastAsia="fr-FR"/>
              </w:rPr>
            </w:pPr>
          </w:p>
          <w:p w:rsidR="007D5BC2" w:rsidRPr="007D5BC2" w:rsidRDefault="00DB7FA5" w:rsidP="009B12C2">
            <w:pPr>
              <w:pStyle w:val="Plattetekst2"/>
              <w:jc w:val="both"/>
              <w:rPr>
                <w:rFonts w:cs="Arial"/>
                <w:kern w:val="32"/>
                <w:lang w:val="fr-BE"/>
              </w:rPr>
            </w:pP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>Au sein d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u service des ateliers communa</w:t>
            </w:r>
            <w:r w:rsidR="009B12C2">
              <w:rPr>
                <w:rFonts w:cs="Arial"/>
                <w:snapToGrid w:val="0"/>
                <w:szCs w:val="22"/>
                <w:lang w:val="fr-FR" w:eastAsia="fr-FR"/>
              </w:rPr>
              <w:t>ux</w:t>
            </w: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 xml:space="preserve">, les missions </w:t>
            </w:r>
            <w:r w:rsidR="004264B2" w:rsidRPr="00DB7FA5">
              <w:rPr>
                <w:rFonts w:cs="Arial"/>
                <w:snapToGrid w:val="0"/>
                <w:szCs w:val="22"/>
                <w:lang w:val="fr-FR" w:eastAsia="fr-FR"/>
              </w:rPr>
              <w:t>d</w:t>
            </w:r>
            <w:r w:rsidR="00A65F29">
              <w:rPr>
                <w:rFonts w:cs="Arial"/>
                <w:snapToGrid w:val="0"/>
                <w:szCs w:val="22"/>
                <w:lang w:val="fr-FR" w:eastAsia="fr-FR"/>
              </w:rPr>
              <w:t xml:space="preserve">e l’ouvrier polyvalent 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 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consisteront</w:t>
            </w:r>
            <w:r w:rsidR="004E10B8">
              <w:rPr>
                <w:rFonts w:cs="Arial"/>
                <w:snapToGrid w:val="0"/>
                <w:szCs w:val="22"/>
                <w:lang w:val="fr-FR" w:eastAsia="fr-FR"/>
              </w:rPr>
              <w:t xml:space="preserve"> </w:t>
            </w:r>
            <w:r w:rsidR="00A20665">
              <w:rPr>
                <w:rFonts w:cs="Arial"/>
                <w:snapToGrid w:val="0"/>
                <w:szCs w:val="22"/>
                <w:lang w:val="fr-FR" w:eastAsia="fr-FR"/>
              </w:rPr>
              <w:t>principalement en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 des travaux</w:t>
            </w:r>
            <w:r w:rsidR="00A65F29">
              <w:rPr>
                <w:rFonts w:cs="Arial"/>
                <w:snapToGrid w:val="0"/>
                <w:szCs w:val="22"/>
                <w:lang w:val="fr-FR" w:eastAsia="fr-FR"/>
              </w:rPr>
              <w:t xml:space="preserve"> de manutention logistique</w:t>
            </w:r>
            <w:r w:rsidR="00257319">
              <w:rPr>
                <w:rFonts w:cs="Arial"/>
                <w:snapToGrid w:val="0"/>
                <w:szCs w:val="22"/>
                <w:lang w:val="fr-FR" w:eastAsia="fr-FR"/>
              </w:rPr>
              <w:t>,</w:t>
            </w:r>
            <w:r w:rsidR="0002375D">
              <w:rPr>
                <w:rFonts w:cs="Arial"/>
                <w:snapToGrid w:val="0"/>
                <w:szCs w:val="22"/>
                <w:lang w:val="fr-FR" w:eastAsia="fr-FR"/>
              </w:rPr>
              <w:t xml:space="preserve"> chargement et déchargement de matériaux et matériel pour festivité</w:t>
            </w:r>
            <w:r w:rsidR="00A65F29">
              <w:rPr>
                <w:rFonts w:cs="Arial"/>
                <w:snapToGrid w:val="0"/>
                <w:szCs w:val="22"/>
                <w:lang w:val="fr-FR" w:eastAsia="fr-FR"/>
              </w:rPr>
              <w:t>, de bricolage et de maintenance technique.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472"/>
      </w:tblGrid>
      <w:tr w:rsidR="00F64CEB" w:rsidRPr="004264B2" w:rsidTr="00BF75B4">
        <w:trPr>
          <w:trHeight w:val="475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Activités principales</w:t>
            </w:r>
          </w:p>
        </w:tc>
      </w:tr>
      <w:tr w:rsidR="00F64CEB" w:rsidRPr="00E84FA8" w:rsidTr="00BF75B4">
        <w:trPr>
          <w:trHeight w:val="7"/>
        </w:trPr>
        <w:tc>
          <w:tcPr>
            <w:tcW w:w="9472" w:type="dxa"/>
            <w:shd w:val="clear" w:color="auto" w:fill="E6E6E6"/>
          </w:tcPr>
          <w:p w:rsidR="00A65F29" w:rsidRPr="00E341CD" w:rsidRDefault="00A65F29" w:rsidP="00E341C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7FA5" w:rsidRPr="00E341CD" w:rsidRDefault="00E5404D" w:rsidP="00E341C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41CD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AA0401" w:rsidRPr="00E341CD">
              <w:rPr>
                <w:rFonts w:ascii="Arial" w:hAnsi="Arial" w:cs="Arial"/>
                <w:sz w:val="22"/>
                <w:szCs w:val="22"/>
                <w:lang w:val="fr-BE"/>
              </w:rPr>
              <w:t xml:space="preserve">ous l’autorité </w:t>
            </w:r>
            <w:r w:rsidR="009B12C2">
              <w:rPr>
                <w:rFonts w:ascii="Arial" w:hAnsi="Arial" w:cs="Arial"/>
                <w:sz w:val="22"/>
                <w:szCs w:val="22"/>
                <w:lang w:val="fr-BE"/>
              </w:rPr>
              <w:t>hiérarchique</w:t>
            </w:r>
            <w:r w:rsidR="00AA0401" w:rsidRPr="00E341CD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="00A65F29" w:rsidRPr="00E341CD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l’ouvrier polyvalent </w:t>
            </w:r>
            <w:r w:rsidR="00E341CD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-</w:t>
            </w:r>
            <w:r w:rsidR="00A65F29" w:rsidRPr="00E341CD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Handyman devra</w:t>
            </w:r>
            <w:r w:rsidR="00A65F29" w:rsidRPr="00E341CD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</w:p>
          <w:p w:rsidR="005C1B59" w:rsidRDefault="005C1B59" w:rsidP="00BF75B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341CD" w:rsidRPr="00E341CD" w:rsidRDefault="004264B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Réaliser des travaux de </w:t>
            </w:r>
            <w:r w:rsidR="00E341CD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manutention logistique (chargement, déchargement)</w:t>
            </w:r>
          </w:p>
          <w:p w:rsidR="004264B2" w:rsidRPr="004264B2" w:rsidRDefault="00E341CD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Participer au support technique  en apportant une aide au</w:t>
            </w:r>
            <w:r w:rsidR="009B12C2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x</w:t>
            </w: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 différent</w:t>
            </w:r>
            <w:r w:rsidR="009B12C2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s</w:t>
            </w: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 corps de métier du bâtiment.</w:t>
            </w:r>
          </w:p>
          <w:p w:rsidR="004264B2" w:rsidRPr="00AA0401" w:rsidRDefault="00E341CD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Réaliser des travaux de petit bricolage en autonomie.</w:t>
            </w:r>
          </w:p>
          <w:p w:rsidR="00302D52" w:rsidRDefault="00302D5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Veillez aux respects des normes sécuritaires du secteur du bâtiment.</w:t>
            </w:r>
          </w:p>
          <w:p w:rsidR="00AA0401" w:rsidRPr="00B43007" w:rsidRDefault="00AA0401" w:rsidP="00302D52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7374C2" w:rsidRDefault="007374C2">
      <w:pPr>
        <w:rPr>
          <w:rFonts w:ascii="Arial" w:hAnsi="Arial" w:cs="Arial"/>
          <w:lang w:val="fr-BE"/>
        </w:rPr>
      </w:pPr>
    </w:p>
    <w:p w:rsidR="003D477E" w:rsidRDefault="003D477E">
      <w:pPr>
        <w:rPr>
          <w:rFonts w:ascii="Arial" w:hAnsi="Arial" w:cs="Arial"/>
          <w:lang w:val="fr-BE"/>
        </w:rPr>
      </w:pPr>
    </w:p>
    <w:p w:rsidR="003D477E" w:rsidRDefault="003D477E">
      <w:pPr>
        <w:rPr>
          <w:rFonts w:ascii="Arial" w:hAnsi="Arial" w:cs="Arial"/>
          <w:lang w:val="fr-BE"/>
        </w:rPr>
      </w:pPr>
    </w:p>
    <w:p w:rsidR="003D477E" w:rsidRDefault="003D477E">
      <w:pPr>
        <w:rPr>
          <w:rFonts w:ascii="Arial" w:hAnsi="Arial" w:cs="Arial"/>
          <w:lang w:val="fr-BE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32"/>
      </w:tblGrid>
      <w:tr w:rsidR="00DB14C7" w:rsidRPr="00302D52" w:rsidTr="000C03B8">
        <w:trPr>
          <w:trHeight w:val="452"/>
        </w:trPr>
        <w:tc>
          <w:tcPr>
            <w:tcW w:w="9232" w:type="dxa"/>
            <w:shd w:val="clear" w:color="auto" w:fill="E6E6E6"/>
            <w:vAlign w:val="center"/>
          </w:tcPr>
          <w:p w:rsidR="00DB14C7" w:rsidRPr="00E852A0" w:rsidRDefault="00DB14C7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Profil de Compétences </w:t>
            </w:r>
          </w:p>
        </w:tc>
      </w:tr>
      <w:tr w:rsidR="00DB14C7" w:rsidRPr="00E84FA8" w:rsidTr="000C03B8">
        <w:trPr>
          <w:trHeight w:val="1326"/>
        </w:trPr>
        <w:tc>
          <w:tcPr>
            <w:tcW w:w="9232" w:type="dxa"/>
            <w:tcBorders>
              <w:bottom w:val="nil"/>
            </w:tcBorders>
            <w:shd w:val="clear" w:color="auto" w:fill="E6E6E6"/>
          </w:tcPr>
          <w:p w:rsidR="007D47DE" w:rsidRDefault="007D47DE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7D47DE" w:rsidRPr="005A11B2" w:rsidRDefault="00DC18A6" w:rsidP="000C03B8">
            <w:pPr>
              <w:pStyle w:val="Lijstaline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7D47DE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Technique </w:t>
            </w: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2459C9" w:rsidRDefault="002459C9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459C9" w:rsidRPr="00DB7FA5">
              <w:rPr>
                <w:lang w:val="fr-BE"/>
              </w:rPr>
              <w:t xml:space="preserve"> </w:t>
            </w:r>
            <w:r w:rsidR="002459C9" w:rsidRPr="002459C9">
              <w:rPr>
                <w:rFonts w:ascii="Arial" w:hAnsi="Arial" w:cs="Arial"/>
                <w:sz w:val="22"/>
                <w:szCs w:val="22"/>
                <w:lang w:val="fr-BE"/>
              </w:rPr>
              <w:t>Missions du service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 xml:space="preserve"> des </w:t>
            </w:r>
            <w:r w:rsidR="00B43007">
              <w:rPr>
                <w:rFonts w:ascii="Arial" w:hAnsi="Arial" w:cs="Arial"/>
                <w:sz w:val="22"/>
                <w:szCs w:val="22"/>
                <w:lang w:val="fr-BE"/>
              </w:rPr>
              <w:t>ateliers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000DA4" w:rsidRDefault="00000DA4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7D47DE" w:rsidRDefault="007D47DE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Pr="00E93746" w:rsidRDefault="00A12209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Comprendre et ex</w:t>
            </w:r>
            <w:r w:rsidR="00B509F5">
              <w:rPr>
                <w:rFonts w:ascii="Arial" w:hAnsi="Arial" w:cs="Arial"/>
                <w:sz w:val="22"/>
                <w:szCs w:val="22"/>
                <w:lang w:val="fr-BE"/>
              </w:rPr>
              <w:t xml:space="preserve">primer des messages techniques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spécifiques</w:t>
            </w:r>
            <w:r w:rsidR="007D47DE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E84FA8" w:rsidTr="000C03B8">
        <w:trPr>
          <w:trHeight w:val="1240"/>
        </w:trPr>
        <w:tc>
          <w:tcPr>
            <w:tcW w:w="9232" w:type="dxa"/>
            <w:tcBorders>
              <w:bottom w:val="single" w:sz="4" w:space="0" w:color="auto"/>
            </w:tcBorders>
            <w:shd w:val="clear" w:color="auto" w:fill="E6E6E6"/>
          </w:tcPr>
          <w:p w:rsidR="00000DA4" w:rsidRDefault="00000DA4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DB14C7" w:rsidRDefault="00DB14C7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>B.</w:t>
            </w:r>
            <w:r w:rsidR="007D47DE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000DA4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Comportemental</w:t>
            </w:r>
          </w:p>
          <w:p w:rsidR="000C03B8" w:rsidRPr="000C03B8" w:rsidRDefault="00996B42" w:rsidP="000C03B8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Capacité à communiquer tant oralement que </w:t>
            </w:r>
            <w:r w:rsidR="00000DA4"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par écrit.</w:t>
            </w:r>
          </w:p>
          <w:p w:rsidR="00AA0401" w:rsidRDefault="00000DA4" w:rsidP="00AA0401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Organisé, 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ponctuel, dynamique et </w:t>
            </w:r>
            <w:r w:rsidR="00AA0401">
              <w:rPr>
                <w:rFonts w:ascii="Arial" w:hAnsi="Arial" w:cs="Arial"/>
                <w:sz w:val="22"/>
                <w:szCs w:val="22"/>
                <w:lang w:val="fr-BE" w:eastAsia="fr-BE"/>
              </w:rPr>
              <w:t>interactif.</w:t>
            </w:r>
          </w:p>
          <w:p w:rsidR="00A30112" w:rsidRPr="00302D52" w:rsidRDefault="00996B42" w:rsidP="00000DA4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Capacité à s'intégrer à une équipe pluridisciplinaire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>.</w:t>
            </w: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 </w:t>
            </w:r>
          </w:p>
          <w:p w:rsidR="00A30112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5A11B2" w:rsidRDefault="005A11B2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RPr="005A11B2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84FA8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Sous </w:t>
            </w:r>
            <w:r w:rsidR="005A11B2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l’autorité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l’organisation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hiérarchique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résultant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l’organigramme</w:t>
            </w:r>
          </w:p>
          <w:p w:rsidR="00BF75B4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  <w:p w:rsidR="00BF75B4" w:rsidRPr="00DB7FA5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</w:tc>
      </w:tr>
      <w:tr w:rsidR="00F64CEB" w:rsidRPr="00E84FA8" w:rsidTr="00302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B43007" w:rsidRDefault="00B43007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u w:val="single"/>
              </w:rPr>
            </w:pP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instrText xml:space="preserve"> FORMCHECKBOX </w:instrText>
            </w:r>
            <w:r w:rsidR="00E84FA8">
              <w:rPr>
                <w:rFonts w:ascii="Arial" w:hAnsi="Arial" w:cs="Arial"/>
                <w:u w:val="single"/>
                <w:shd w:val="clear" w:color="auto" w:fill="000000" w:themeFill="text1"/>
              </w:rPr>
            </w:r>
            <w:r w:rsidR="00E84FA8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separate"/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end"/>
            </w:r>
            <w:r w:rsidR="008C6120" w:rsidRPr="00B43007">
              <w:rPr>
                <w:rFonts w:ascii="Arial" w:hAnsi="Arial" w:cs="Arial"/>
                <w:u w:val="single"/>
              </w:rPr>
              <w:t xml:space="preserve">  </w:t>
            </w:r>
            <w:r w:rsidR="00AF3549" w:rsidRPr="00B43007">
              <w:rPr>
                <w:rFonts w:ascii="Arial" w:hAnsi="Arial" w:cs="Arial"/>
                <w:u w:val="single"/>
              </w:rPr>
              <w:t xml:space="preserve">la fonction </w:t>
            </w:r>
            <w:r w:rsidR="00537268" w:rsidRPr="00B43007">
              <w:rPr>
                <w:rFonts w:ascii="Arial" w:hAnsi="Arial" w:cs="Arial"/>
                <w:u w:val="single"/>
              </w:rPr>
              <w:t>n’assure pas de direction</w:t>
            </w:r>
          </w:p>
          <w:p w:rsidR="00E341CD" w:rsidRPr="00E852A0" w:rsidRDefault="00E341CD" w:rsidP="003D477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302D52" w:rsidRDefault="00DB14C7" w:rsidP="00302D5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E84FA8" w:rsidTr="003D4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9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000DA4" w:rsidRDefault="00720CE6" w:rsidP="00302D52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Avoir une première expérience pertinente dans 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des travaux de </w:t>
            </w:r>
            <w:r w:rsidR="00BF75B4">
              <w:rPr>
                <w:rFonts w:ascii="Arial" w:hAnsi="Arial" w:cs="Arial"/>
                <w:sz w:val="22"/>
                <w:szCs w:val="22"/>
                <w:lang w:val="fr-BE"/>
              </w:rPr>
              <w:t>parachèvements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 xml:space="preserve"> et de rénovation </w:t>
            </w:r>
            <w:r w:rsidR="00BF75B4">
              <w:rPr>
                <w:rFonts w:ascii="Arial" w:hAnsi="Arial" w:cs="Arial"/>
                <w:sz w:val="22"/>
                <w:szCs w:val="22"/>
                <w:lang w:val="fr-BE"/>
              </w:rPr>
              <w:t>du bâtiment</w:t>
            </w:r>
            <w:r w:rsidR="00302D52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BF75B4" w:rsidRDefault="00BF75B4" w:rsidP="00302D52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du permis de conduire B.</w:t>
            </w:r>
          </w:p>
          <w:p w:rsidR="00302D52" w:rsidRPr="00000DA4" w:rsidRDefault="00302D52" w:rsidP="00BF75B4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000DA4" w:rsidRDefault="00000DA4" w:rsidP="00A30112">
      <w:pPr>
        <w:rPr>
          <w:lang w:val="fr-FR"/>
        </w:rPr>
      </w:pPr>
    </w:p>
    <w:p w:rsidR="00A30112" w:rsidRDefault="00A30112" w:rsidP="00A30112">
      <w:pPr>
        <w:rPr>
          <w:lang w:val="fr-FR"/>
        </w:rPr>
      </w:pPr>
      <w:r w:rsidRPr="00000DA4">
        <w:rPr>
          <w:u w:val="single"/>
          <w:lang w:val="fr-FR"/>
        </w:rPr>
        <w:t>La loi de continuité et de régularité</w:t>
      </w:r>
      <w:r w:rsidR="00000DA4">
        <w:rPr>
          <w:lang w:val="fr-FR"/>
        </w:rPr>
        <w:t> :</w:t>
      </w:r>
    </w:p>
    <w:p w:rsidR="00000DA4" w:rsidRPr="00A30112" w:rsidRDefault="00000DA4" w:rsidP="00A30112">
      <w:pPr>
        <w:rPr>
          <w:lang w:val="fr-FR"/>
        </w:rPr>
      </w:pPr>
    </w:p>
    <w:p w:rsidR="00000DA4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</w:t>
      </w:r>
      <w:r w:rsidR="00000DA4">
        <w:rPr>
          <w:lang w:val="fr-FR"/>
        </w:rPr>
        <w:t>ans interruption, ni suspension</w:t>
      </w:r>
      <w:r w:rsidRPr="00A30112">
        <w:rPr>
          <w:lang w:val="fr-FR"/>
        </w:rPr>
        <w:t xml:space="preserve"> »</w:t>
      </w:r>
      <w:r w:rsidR="00000DA4">
        <w:rPr>
          <w:lang w:val="fr-FR"/>
        </w:rPr>
        <w:t>.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257319" w:rsidRDefault="00257319" w:rsidP="00A30112">
      <w:pPr>
        <w:rPr>
          <w:lang w:val="fr-FR"/>
        </w:rPr>
      </w:pPr>
    </w:p>
    <w:p w:rsidR="00257319" w:rsidRDefault="00257319" w:rsidP="00A30112">
      <w:pPr>
        <w:rPr>
          <w:lang w:val="fr-FR"/>
        </w:rPr>
      </w:pPr>
    </w:p>
    <w:p w:rsidR="00257319" w:rsidRDefault="00257319" w:rsidP="00A30112">
      <w:pPr>
        <w:rPr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E84FA8" w:rsidRDefault="00E84FA8" w:rsidP="00257319">
      <w:pPr>
        <w:rPr>
          <w:color w:val="1F497D"/>
          <w:lang w:val="fr-FR"/>
        </w:rPr>
      </w:pPr>
    </w:p>
    <w:p w:rsidR="00257319" w:rsidRDefault="00257319" w:rsidP="00257319">
      <w:pPr>
        <w:rPr>
          <w:color w:val="1F497D"/>
          <w:lang w:val="fr-FR" w:eastAsia="nl-BE"/>
        </w:rPr>
      </w:pPr>
      <w:bookmarkStart w:id="1" w:name="_GoBack"/>
      <w:bookmarkEnd w:id="1"/>
      <w:r>
        <w:rPr>
          <w:color w:val="1F497D"/>
          <w:lang w:val="fr-FR"/>
        </w:rPr>
        <w:t xml:space="preserve">Données pratiques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Envoyer un CV accompagné d’une lettre de motivation signée + extrait casier judiciaire  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Service GRH </w:t>
      </w:r>
    </w:p>
    <w:p w:rsidR="00257319" w:rsidRDefault="00257319" w:rsidP="00257319">
      <w:pPr>
        <w:rPr>
          <w:color w:val="1F497D"/>
          <w:lang w:val="fr-FR"/>
        </w:rPr>
      </w:pP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257319" w:rsidRDefault="00E84FA8" w:rsidP="00257319">
      <w:pPr>
        <w:rPr>
          <w:color w:val="1F497D"/>
          <w:lang w:val="fr-FR"/>
        </w:rPr>
      </w:pPr>
      <w:hyperlink r:id="rId9" w:history="1">
        <w:r w:rsidR="00257319">
          <w:rPr>
            <w:rStyle w:val="Hyperlink"/>
            <w:color w:val="1F497D"/>
            <w:lang w:val="fr-FR"/>
          </w:rPr>
          <w:t>candidature@molenbeek.irisnet.be</w:t>
        </w:r>
      </w:hyperlink>
      <w:r w:rsidR="00257319">
        <w:rPr>
          <w:color w:val="1F497D"/>
          <w:lang w:val="fr-FR"/>
        </w:rPr>
        <w:t xml:space="preserve">    -  REF. Ateliers</w:t>
      </w:r>
    </w:p>
    <w:p w:rsidR="00257319" w:rsidRDefault="00257319" w:rsidP="00257319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257319" w:rsidRDefault="00257319" w:rsidP="00257319">
      <w:pPr>
        <w:rPr>
          <w:color w:val="1F497D"/>
          <w:lang w:val="fr-FR"/>
        </w:rPr>
      </w:pPr>
    </w:p>
    <w:p w:rsidR="00257319" w:rsidRDefault="00257319" w:rsidP="00257319">
      <w:pPr>
        <w:rPr>
          <w:color w:val="1F497D"/>
          <w:lang w:val="fr-FR"/>
        </w:rPr>
      </w:pPr>
    </w:p>
    <w:p w:rsidR="00257319" w:rsidRPr="00736DD5" w:rsidRDefault="00257319" w:rsidP="00A30112">
      <w:pPr>
        <w:rPr>
          <w:lang w:val="fr-FR"/>
        </w:rPr>
      </w:pPr>
    </w:p>
    <w:sectPr w:rsidR="00257319" w:rsidRPr="00736DD5" w:rsidSect="00E72318">
      <w:footerReference w:type="default" r:id="rId10"/>
      <w:pgSz w:w="11906" w:h="16838" w:code="9"/>
      <w:pgMar w:top="5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7E" w:rsidRDefault="0034277E">
      <w:r>
        <w:separator/>
      </w:r>
    </w:p>
  </w:endnote>
  <w:endnote w:type="continuationSeparator" w:id="0">
    <w:p w:rsidR="0034277E" w:rsidRDefault="0034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E84FA8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E84FA8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7E" w:rsidRDefault="0034277E">
      <w:r>
        <w:separator/>
      </w:r>
    </w:p>
  </w:footnote>
  <w:footnote w:type="continuationSeparator" w:id="0">
    <w:p w:rsidR="0034277E" w:rsidRDefault="0034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17"/>
    <w:multiLevelType w:val="hybridMultilevel"/>
    <w:tmpl w:val="1F64C31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56FBA"/>
    <w:multiLevelType w:val="multilevel"/>
    <w:tmpl w:val="E3D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270B"/>
    <w:multiLevelType w:val="hybridMultilevel"/>
    <w:tmpl w:val="05F49B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B945A2"/>
    <w:multiLevelType w:val="hybridMultilevel"/>
    <w:tmpl w:val="47BC7D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562C2"/>
    <w:multiLevelType w:val="hybridMultilevel"/>
    <w:tmpl w:val="F03CC7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6073C"/>
    <w:multiLevelType w:val="hybridMultilevel"/>
    <w:tmpl w:val="954864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B09F4"/>
    <w:multiLevelType w:val="hybridMultilevel"/>
    <w:tmpl w:val="4EEACD3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B71E8"/>
    <w:multiLevelType w:val="hybridMultilevel"/>
    <w:tmpl w:val="49A47C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1F56"/>
    <w:multiLevelType w:val="hybridMultilevel"/>
    <w:tmpl w:val="BD68C8C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01D0A"/>
    <w:multiLevelType w:val="hybridMultilevel"/>
    <w:tmpl w:val="9B940C0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2FEB"/>
    <w:multiLevelType w:val="hybridMultilevel"/>
    <w:tmpl w:val="1E98329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11"/>
  </w:num>
  <w:num w:numId="5">
    <w:abstractNumId w:val="22"/>
  </w:num>
  <w:num w:numId="6">
    <w:abstractNumId w:val="20"/>
  </w:num>
  <w:num w:numId="7">
    <w:abstractNumId w:val="12"/>
  </w:num>
  <w:num w:numId="8">
    <w:abstractNumId w:val="1"/>
  </w:num>
  <w:num w:numId="9">
    <w:abstractNumId w:val="21"/>
  </w:num>
  <w:num w:numId="10">
    <w:abstractNumId w:val="27"/>
  </w:num>
  <w:num w:numId="11">
    <w:abstractNumId w:val="15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31"/>
  </w:num>
  <w:num w:numId="18">
    <w:abstractNumId w:val="2"/>
  </w:num>
  <w:num w:numId="19">
    <w:abstractNumId w:val="18"/>
  </w:num>
  <w:num w:numId="20">
    <w:abstractNumId w:val="25"/>
  </w:num>
  <w:num w:numId="21">
    <w:abstractNumId w:val="26"/>
  </w:num>
  <w:num w:numId="22">
    <w:abstractNumId w:val="0"/>
  </w:num>
  <w:num w:numId="23">
    <w:abstractNumId w:val="29"/>
  </w:num>
  <w:num w:numId="24">
    <w:abstractNumId w:val="10"/>
  </w:num>
  <w:num w:numId="25">
    <w:abstractNumId w:val="17"/>
  </w:num>
  <w:num w:numId="26">
    <w:abstractNumId w:val="3"/>
  </w:num>
  <w:num w:numId="27">
    <w:abstractNumId w:val="4"/>
  </w:num>
  <w:num w:numId="28">
    <w:abstractNumId w:val="6"/>
  </w:num>
  <w:num w:numId="29">
    <w:abstractNumId w:val="28"/>
  </w:num>
  <w:num w:numId="30">
    <w:abstractNumId w:val="23"/>
  </w:num>
  <w:num w:numId="31">
    <w:abstractNumId w:val="8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0DA4"/>
    <w:rsid w:val="00001708"/>
    <w:rsid w:val="0000738F"/>
    <w:rsid w:val="00021543"/>
    <w:rsid w:val="0002375D"/>
    <w:rsid w:val="00041301"/>
    <w:rsid w:val="000644DF"/>
    <w:rsid w:val="000716C0"/>
    <w:rsid w:val="000A5DD7"/>
    <w:rsid w:val="000B6704"/>
    <w:rsid w:val="000C03B8"/>
    <w:rsid w:val="000D00DC"/>
    <w:rsid w:val="000F31E4"/>
    <w:rsid w:val="00140B7D"/>
    <w:rsid w:val="00175127"/>
    <w:rsid w:val="00176070"/>
    <w:rsid w:val="001B1167"/>
    <w:rsid w:val="001C43BA"/>
    <w:rsid w:val="001F003A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459C9"/>
    <w:rsid w:val="00257319"/>
    <w:rsid w:val="00266BFD"/>
    <w:rsid w:val="002A5C1E"/>
    <w:rsid w:val="002C7C2E"/>
    <w:rsid w:val="002D20EB"/>
    <w:rsid w:val="002E7BC3"/>
    <w:rsid w:val="002F29F9"/>
    <w:rsid w:val="002F7022"/>
    <w:rsid w:val="00302D52"/>
    <w:rsid w:val="003162BA"/>
    <w:rsid w:val="0032392F"/>
    <w:rsid w:val="00327670"/>
    <w:rsid w:val="00331D58"/>
    <w:rsid w:val="00337388"/>
    <w:rsid w:val="00341085"/>
    <w:rsid w:val="0034277E"/>
    <w:rsid w:val="003845D4"/>
    <w:rsid w:val="003865A3"/>
    <w:rsid w:val="003B73D3"/>
    <w:rsid w:val="003C5D0F"/>
    <w:rsid w:val="003D477E"/>
    <w:rsid w:val="003E535B"/>
    <w:rsid w:val="004264B2"/>
    <w:rsid w:val="00473D98"/>
    <w:rsid w:val="00481432"/>
    <w:rsid w:val="0049750C"/>
    <w:rsid w:val="004A11ED"/>
    <w:rsid w:val="004B52E4"/>
    <w:rsid w:val="004C3264"/>
    <w:rsid w:val="004C478B"/>
    <w:rsid w:val="004D2AF7"/>
    <w:rsid w:val="004D5C50"/>
    <w:rsid w:val="004E10B8"/>
    <w:rsid w:val="00506676"/>
    <w:rsid w:val="005126F5"/>
    <w:rsid w:val="00525ADE"/>
    <w:rsid w:val="0053716D"/>
    <w:rsid w:val="00537268"/>
    <w:rsid w:val="00541CFF"/>
    <w:rsid w:val="00563E94"/>
    <w:rsid w:val="005745C9"/>
    <w:rsid w:val="00574F91"/>
    <w:rsid w:val="00586873"/>
    <w:rsid w:val="00592088"/>
    <w:rsid w:val="00594BD5"/>
    <w:rsid w:val="005971B5"/>
    <w:rsid w:val="005A11B2"/>
    <w:rsid w:val="005B13D8"/>
    <w:rsid w:val="005C1B59"/>
    <w:rsid w:val="005C7D7F"/>
    <w:rsid w:val="005D4202"/>
    <w:rsid w:val="005F6250"/>
    <w:rsid w:val="00637EE5"/>
    <w:rsid w:val="006515E5"/>
    <w:rsid w:val="006660DD"/>
    <w:rsid w:val="006A3BB8"/>
    <w:rsid w:val="006C2E88"/>
    <w:rsid w:val="00714CE9"/>
    <w:rsid w:val="00715FF0"/>
    <w:rsid w:val="00720CE6"/>
    <w:rsid w:val="00735E9C"/>
    <w:rsid w:val="00736DD5"/>
    <w:rsid w:val="007374C2"/>
    <w:rsid w:val="00756DE4"/>
    <w:rsid w:val="00767209"/>
    <w:rsid w:val="00794A98"/>
    <w:rsid w:val="007A6978"/>
    <w:rsid w:val="007D47DE"/>
    <w:rsid w:val="007D5BC2"/>
    <w:rsid w:val="007E58F5"/>
    <w:rsid w:val="0085142D"/>
    <w:rsid w:val="00854DDE"/>
    <w:rsid w:val="00856C2E"/>
    <w:rsid w:val="00861BCA"/>
    <w:rsid w:val="00863E73"/>
    <w:rsid w:val="00865D00"/>
    <w:rsid w:val="00867AC3"/>
    <w:rsid w:val="00872BEF"/>
    <w:rsid w:val="008A677F"/>
    <w:rsid w:val="008B1140"/>
    <w:rsid w:val="008C6120"/>
    <w:rsid w:val="008D13FD"/>
    <w:rsid w:val="008F5B15"/>
    <w:rsid w:val="00902AB5"/>
    <w:rsid w:val="00917193"/>
    <w:rsid w:val="0092312F"/>
    <w:rsid w:val="00925B58"/>
    <w:rsid w:val="00926463"/>
    <w:rsid w:val="0094640E"/>
    <w:rsid w:val="0094789F"/>
    <w:rsid w:val="00973242"/>
    <w:rsid w:val="00990064"/>
    <w:rsid w:val="009941A3"/>
    <w:rsid w:val="00996B42"/>
    <w:rsid w:val="009B12C2"/>
    <w:rsid w:val="009C396D"/>
    <w:rsid w:val="009D4406"/>
    <w:rsid w:val="009E447F"/>
    <w:rsid w:val="00A12209"/>
    <w:rsid w:val="00A20665"/>
    <w:rsid w:val="00A30112"/>
    <w:rsid w:val="00A56B85"/>
    <w:rsid w:val="00A65F29"/>
    <w:rsid w:val="00A8090E"/>
    <w:rsid w:val="00A94CC0"/>
    <w:rsid w:val="00AA0401"/>
    <w:rsid w:val="00AD043A"/>
    <w:rsid w:val="00AD2C3E"/>
    <w:rsid w:val="00AF3549"/>
    <w:rsid w:val="00B14113"/>
    <w:rsid w:val="00B327FD"/>
    <w:rsid w:val="00B43007"/>
    <w:rsid w:val="00B468C5"/>
    <w:rsid w:val="00B509F5"/>
    <w:rsid w:val="00B50E4A"/>
    <w:rsid w:val="00B62EA7"/>
    <w:rsid w:val="00B809B4"/>
    <w:rsid w:val="00B84FDC"/>
    <w:rsid w:val="00B95D10"/>
    <w:rsid w:val="00BA1BEA"/>
    <w:rsid w:val="00BB7E33"/>
    <w:rsid w:val="00BD1C29"/>
    <w:rsid w:val="00BD38F2"/>
    <w:rsid w:val="00BE34BA"/>
    <w:rsid w:val="00BF109F"/>
    <w:rsid w:val="00BF75B4"/>
    <w:rsid w:val="00BF7E0E"/>
    <w:rsid w:val="00C01CCF"/>
    <w:rsid w:val="00C1438C"/>
    <w:rsid w:val="00C2543F"/>
    <w:rsid w:val="00CB5429"/>
    <w:rsid w:val="00CC3849"/>
    <w:rsid w:val="00CC3DA8"/>
    <w:rsid w:val="00CD6535"/>
    <w:rsid w:val="00CE69AF"/>
    <w:rsid w:val="00D07D1B"/>
    <w:rsid w:val="00D07E7A"/>
    <w:rsid w:val="00D34FC8"/>
    <w:rsid w:val="00D365AD"/>
    <w:rsid w:val="00D51ABC"/>
    <w:rsid w:val="00D61A0D"/>
    <w:rsid w:val="00D76694"/>
    <w:rsid w:val="00DB14C7"/>
    <w:rsid w:val="00DB7FA5"/>
    <w:rsid w:val="00DC18A6"/>
    <w:rsid w:val="00DC37EA"/>
    <w:rsid w:val="00DD1B83"/>
    <w:rsid w:val="00DF31AD"/>
    <w:rsid w:val="00E07EF2"/>
    <w:rsid w:val="00E12D0B"/>
    <w:rsid w:val="00E2284E"/>
    <w:rsid w:val="00E24234"/>
    <w:rsid w:val="00E341CD"/>
    <w:rsid w:val="00E4024A"/>
    <w:rsid w:val="00E41485"/>
    <w:rsid w:val="00E5379F"/>
    <w:rsid w:val="00E5404D"/>
    <w:rsid w:val="00E627E9"/>
    <w:rsid w:val="00E72318"/>
    <w:rsid w:val="00E830D3"/>
    <w:rsid w:val="00E84FA8"/>
    <w:rsid w:val="00E852A0"/>
    <w:rsid w:val="00E93746"/>
    <w:rsid w:val="00EC192D"/>
    <w:rsid w:val="00EE6108"/>
    <w:rsid w:val="00F1415A"/>
    <w:rsid w:val="00F32640"/>
    <w:rsid w:val="00F55470"/>
    <w:rsid w:val="00F607E9"/>
    <w:rsid w:val="00F60CEE"/>
    <w:rsid w:val="00F64CEB"/>
    <w:rsid w:val="00F7467A"/>
    <w:rsid w:val="00FA6A07"/>
    <w:rsid w:val="00FB154E"/>
    <w:rsid w:val="00FC4287"/>
    <w:rsid w:val="00FE665F"/>
    <w:rsid w:val="00FF6379"/>
    <w:rsid w:val="00FF718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4D486"/>
  <w15:docId w15:val="{B3B2ED3A-9FE4-4746-B2A7-55A91F3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865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17">
              <w:marLeft w:val="3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5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0457-0A5B-42DF-939B-3DEFABE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2902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4</cp:revision>
  <cp:lastPrinted>2020-03-02T14:23:00Z</cp:lastPrinted>
  <dcterms:created xsi:type="dcterms:W3CDTF">2021-04-30T12:44:00Z</dcterms:created>
  <dcterms:modified xsi:type="dcterms:W3CDTF">2021-05-11T07:42:00Z</dcterms:modified>
</cp:coreProperties>
</file>